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eaks-lag-mapping"/>
    <w:p>
      <w:pPr>
        <w:pStyle w:val="Heading2"/>
      </w:pPr>
      <w:r>
        <w:t xml:space="preserve">Peaks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peaks</w:t>
      </w:r>
      <w:r>
        <w:t xml:space="preserve"> </w:t>
      </w:r>
      <w:r>
        <w:t xml:space="preserve">retains local maxima from a correlation profile instead of simply taking the largest coefficients.</w:t>
      </w:r>
      <w:r>
        <w:t xml:space="preserve"> </w:t>
      </w:r>
      <w:r>
        <w:t xml:space="preserve">- This reduces redundancy when several neighboring lags carry nearly the same information.</w:t>
      </w:r>
    </w:p>
    <w:p>
      <w:pPr>
        <w:pStyle w:val="BodyText"/>
      </w:pPr>
      <w:r>
        <w:t xml:space="preserve">Didactic goal: illustrate a peak-picking rule that avoids clustering too many selected lags in the same correlation neighborhood.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Peaks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6-peaks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2026-05-18T16:29:01Z</dcterms:created>
  <dcterms:modified xsi:type="dcterms:W3CDTF">2026-05-18T16:29:01Z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