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augmentation"/>
    <w:p>
      <w:pPr>
        <w:pStyle w:val="Heading2"/>
      </w:pPr>
      <w:r>
        <w:t xml:space="preserve">Recency-Aware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Awareness augmentation gives more importance to windows that reflect the most recent regime of the series.</w:t>
      </w:r>
      <w:r>
        <w:t xml:space="preserve"> </w:t>
      </w:r>
      <w:r>
        <w:t xml:space="preserve">- This is useful when old patterns may be less relevant than recent dynamics.</w:t>
      </w:r>
    </w:p>
    <w:p>
      <w:pPr>
        <w:pStyle w:val="BodyText"/>
      </w:pPr>
      <w:r>
        <w:t xml:space="preserve">Didactic goal: see how augmentation can encode temporal preference instead of only geometric variation.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7-awareness-augmentation_files/3e267d768ee6d4858d8622d0941d2abd4e4277a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7-awareness-augmentation_files/ab63bba3da43c9f590d394619cddf4d72f2b07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(awareness).</w:t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7-awareness-augmentation_files/952e4fe3d053c7fee4f81340cab034cfe0308b8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2026-05-19T11:38:47Z</dcterms:created>
  <dcterms:modified xsi:type="dcterms:W3CDTF">2026-05-19T11:38:47Z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