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terministic-auxiliary-models"/>
    <w:p>
      <w:pPr>
        <w:pStyle w:val="Heading2"/>
      </w:pPr>
      <w:r>
        <w:t xml:space="preserve">Deterministic Auxiliary Models</w:t>
      </w:r>
    </w:p>
    <w:p>
      <w:pPr>
        <w:pStyle w:val="FirstParagraph"/>
      </w:pPr>
      <w:r>
        <w:t xml:space="preserve">About the concept</w:t>
      </w:r>
      <w:r>
        <w:t xml:space="preserve"> </w:t>
      </w:r>
      <w:r>
        <w:t xml:space="preserve">- In a target-centered multivariate workflow, not every auxiliary variable needs a generic learner.</w:t>
      </w:r>
      <w:r>
        <w:t xml:space="preserve"> </w:t>
      </w:r>
      <w:r>
        <w:t xml:space="preserve">- Some variables follow an explicit law of formation, so the correct object is a deterministic predictor rather than a statistical model.</w:t>
      </w:r>
    </w:p>
    <w:p>
      <w:pPr>
        <w:pStyle w:val="BodyText"/>
      </w:pPr>
      <w:r>
        <w:t xml:space="preserve">Didactic goal: show how the</w:t>
      </w:r>
      <w:r>
        <w:t xml:space="preserve"> </w:t>
      </w:r>
      <w:r>
        <w:rPr>
          <w:rStyle w:val="VerbatimChar"/>
        </w:rPr>
        <w:t xml:space="preserve">ts_deterministic()</w:t>
      </w:r>
      <w:r>
        <w:t xml:space="preserve"> </w:t>
      </w:r>
      <w:r>
        <w:t xml:space="preserve">family fits naturally inside the multivariate architecture as the pipeline for structured auxiliary variables.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Deterministic auxiliary models in multivariate forecasting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use the same multivariate benchmark structure adopted throughout this</w:t>
      </w:r>
      <w:r>
        <w:t xml:space="preserve"> </w:t>
      </w:r>
      <w:r>
        <w:t xml:space="preserve">section: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y</w:t>
      </w:r>
      <w:r>
        <w:t xml:space="preserve">: daily maximum load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x1</w:t>
      </w:r>
      <w:r>
        <w:t xml:space="preserve">: weekday code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x2</w:t>
      </w:r>
      <w:r>
        <w:t xml:space="preserve">: weekend indicator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(EUNITE.Loads)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(EUNITE.Reg)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(EUNITE.Loads,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(EUNITE.Loads)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(EUNITE.Reg,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load_cols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(EUNITE.Loads),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(EUNITE.Loads[, load_cols,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x2),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point here is not yet the full forecasting experiment. The point is to</w:t>
      </w:r>
      <w:r>
        <w:t xml:space="preserve"> </w:t>
      </w:r>
      <w:r>
        <w:t xml:space="preserve">decide what kind of univariate object makes sense for each auxiliary variable.</w:t>
      </w:r>
    </w:p>
    <w:p>
      <w:pPr>
        <w:pStyle w:val="BodyText"/>
      </w:pPr>
      <w:r>
        <w:rPr>
          <w:rStyle w:val="VerbatimChar"/>
        </w:rPr>
        <w:t xml:space="preserve">x1</w:t>
      </w:r>
      <w:r>
        <w:t xml:space="preserve"> </w:t>
      </w:r>
      <w:r>
        <w:t xml:space="preserve">is a periodic calendar code. It is more coherent to model it with a</w:t>
      </w:r>
      <w:r>
        <w:t xml:space="preserve"> </w:t>
      </w:r>
      <w:r>
        <w:t xml:space="preserve">deterministic periodic rule than with a neural network or a random forest.</w:t>
      </w:r>
    </w:p>
    <w:p>
      <w:pPr>
        <w:pStyle w:val="SourceCode"/>
      </w:pPr>
      <w:r>
        <w:rPr>
          <w:rStyle w:val="NormalTok"/>
        </w:rPr>
        <w:t xml:space="preserve">model_x1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ts_deterministic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(model_x1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[1] "ts_deterministic" "ts_reg"           "predictor"        "dal_learner"     </w:t>
      </w:r>
      <w:r>
        <w:br/>
      </w:r>
      <w:r>
        <w:rPr>
          <w:rStyle w:val="VerbatimChar"/>
        </w:rPr>
        <w:t xml:space="preserve">## [5] "dal_base"</w:t>
      </w:r>
    </w:p>
    <w:p>
      <w:pPr>
        <w:pStyle w:val="FirstParagraph"/>
      </w:pPr>
      <w:r>
        <w:rPr>
          <w:rStyle w:val="VerbatimChar"/>
        </w:rPr>
        <w:t xml:space="preserve">x2</w:t>
      </w:r>
      <w:r>
        <w:t xml:space="preserve"> </w:t>
      </w:r>
      <w:r>
        <w:t xml:space="preserve">is a binary weekend flag. It also follows a periodic law of formation, so</w:t>
      </w:r>
      <w:r>
        <w:t xml:space="preserve"> </w:t>
      </w:r>
      <w:r>
        <w:t xml:space="preserve">it can use the same deterministic family.</w:t>
      </w:r>
    </w:p>
    <w:p>
      <w:pPr>
        <w:pStyle w:val="SourceCode"/>
      </w:pPr>
      <w:r>
        <w:rPr>
          <w:rStyle w:val="NormalTok"/>
        </w:rPr>
        <w:t xml:space="preserve">model_x2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ts_periodic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(model_x2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[1] "ts_periodic"      "ts_deterministic" "ts_reg"           "predictor"       </w:t>
      </w:r>
      <w:r>
        <w:br/>
      </w:r>
      <w:r>
        <w:rPr>
          <w:rStyle w:val="VerbatimChar"/>
        </w:rPr>
        <w:t xml:space="preserve">## [5] "dal_learner"      "dal_base"</w:t>
      </w:r>
    </w:p>
    <w:p>
      <w:pPr>
        <w:pStyle w:val="FirstParagraph"/>
      </w:pPr>
      <w:r>
        <w:t xml:space="preserve">For slowly changing or operationally fixed auxiliary variables, persistence is</w:t>
      </w:r>
      <w:r>
        <w:t xml:space="preserve"> </w:t>
      </w:r>
      <w:r>
        <w:t xml:space="preserve">often enough.</w:t>
      </w:r>
    </w:p>
    <w:p>
      <w:pPr>
        <w:pStyle w:val="SourceCode"/>
      </w:pPr>
      <w:r>
        <w:rPr>
          <w:rStyle w:val="NormalTok"/>
        </w:rPr>
        <w:t xml:space="preserve">model_persist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ts_persist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(model_persist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[1] "ts_persist"       "ts_deterministic" "ts_reg"           "predictor"       </w:t>
      </w:r>
      <w:r>
        <w:br/>
      </w:r>
      <w:r>
        <w:rPr>
          <w:rStyle w:val="VerbatimChar"/>
        </w:rPr>
        <w:t xml:space="preserve">## [5] "dal_learner"      "dal_base"</w:t>
      </w:r>
    </w:p>
    <w:p>
      <w:pPr>
        <w:pStyle w:val="FirstParagraph"/>
      </w:pPr>
      <w:r>
        <w:t xml:space="preserve">These objects are regular multivariate specifications. They plug into the same</w:t>
      </w:r>
      <w:r>
        <w:t xml:space="preserve"> </w:t>
      </w:r>
      <w:r>
        <w:t xml:space="preserve">contract as any other auxiliary learner.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model_x1,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model_x2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[1] "ts_regsw_mv" "ts_reg"      "predictor"   "dal_learner" "dal_base"</w:t>
      </w:r>
    </w:p>
    <w:p>
      <w:pPr>
        <w:pStyle w:val="FirstParagraph"/>
      </w:pPr>
      <w:r>
        <w:t xml:space="preserve">We can already fit the composed object and inspect the auxiliary recursive path.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return_all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$x1</w:t>
      </w:r>
      <w:r>
        <w:br/>
      </w:r>
      <w:r>
        <w:rPr>
          <w:rStyle w:val="VerbatimChar"/>
        </w:rPr>
        <w:t xml:space="preserve">## [1] 4 5 6 7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$x2</w:t>
      </w:r>
      <w:r>
        <w:br/>
      </w:r>
      <w:r>
        <w:rPr>
          <w:rStyle w:val="VerbatimChar"/>
        </w:rPr>
        <w:t xml:space="preserve">## [1] 0 0 0 1 1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ts_deterministic()</w:t>
      </w:r>
      <w:r>
        <w:t xml:space="preserve"> </w:t>
      </w:r>
      <w:r>
        <w:t xml:space="preserve">is not a separate multivariate subsystem. It is a family of univariate objects that plugs into the multivariate orchestration.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ts_periodic()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ts_persist()</w:t>
      </w:r>
      <w:r>
        <w:t xml:space="preserve"> </w:t>
      </w:r>
      <w:r>
        <w:t xml:space="preserve">remain useful wrappers when the intent should be explicit.</w:t>
      </w:r>
      <w:r>
        <w:t xml:space="preserve"> </w:t>
      </w:r>
      <w:r>
        <w:t xml:space="preserve">- Deterministic auxiliary variables should usually be modeled by their law of formation, not by generic learners.</w:t>
      </w:r>
      <w:r>
        <w:t xml:space="preserve"> </w:t>
      </w:r>
      <w:r>
        <w:t xml:space="preserve">- This choice is best taught inside the multivariate workflow, because that is where these auxiliary variables become operationally important.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2026-05-18T14:31:18Z</dcterms:created>
  <dcterms:modified xsi:type="dcterms:W3CDTF">2026-05-18T14:31:18Z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