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arget-centered-multivariate-forecasting"/>
    <w:p>
      <w:pPr>
        <w:pStyle w:val="Heading2"/>
      </w:pPr>
      <w:r>
        <w:t xml:space="preserve">Target-Centered Multivariate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using an existing benchmark from the package.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cefet-rj-dal/tspredit/examples/multivariate/doc/05-target-centered-regression_files/figure-docx/unnamed-chunk-1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cefet-rj-dal/tspredit/examples/multivariate/doc/05-target-centered-regression_files/figure-docx/unnamed-chunk-1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cefet-rj-dal/tspredit/examples/multivariate/doc/05-target-centered-regression_files/figure-docx/unnamed-chunk-1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2026-05-18T14:30:47Z</dcterms:created>
  <dcterms:modified xsi:type="dcterms:W3CDTF">2026-05-18T14:30:47Z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