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6f9780becd2a3c440858773a6e62185c515608"/>
    <w:p>
      <w:pPr>
        <w:pStyle w:val="Heading2"/>
      </w:pPr>
      <w:r>
        <w:t xml:space="preserve">Target-Centered Multivariate Forecasting with Deterministic Auxiliaries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workflow keeps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the forecasting target and treats</w:t>
      </w:r>
      <w:r>
        <w:t xml:space="preserve"> </w:t>
      </w:r>
      <w:r>
        <w:rPr>
          <w:rStyle w:val="VerbatimChar"/>
        </w:rPr>
        <w:t xml:space="preserve">x1, ..., xn</w:t>
      </w:r>
      <w:r>
        <w:t xml:space="preserve"> </w:t>
      </w:r>
      <w:r>
        <w:t xml:space="preserve">as auxiliary series that also receive their own predictive pipelines.</w:t>
      </w:r>
      <w:r>
        <w:t xml:space="preserve"> </w:t>
      </w:r>
      <w:r>
        <w:t xml:space="preserve">- The multivariate wrapper reuses the univariate learners already 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, while coordinating how the synchronized lagged windows are built for each variable.</w:t>
      </w:r>
    </w:p>
    <w:p>
      <w:pPr>
        <w:pStyle w:val="BodyText"/>
      </w:pPr>
      <w:r>
        <w:t xml:space="preserve">Didactic goal: provide a first overview of how multivariate forecasting works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2.0 when the auxiliary variables follow deterministic laws of formation.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multivariate forecasting with deterministic auxiliaries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FirstParagraph"/>
      </w:pPr>
      <w:r>
        <w:t xml:space="preserve">We begin by loading the packages used in the example.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now build an aligned multivariate dataset from benchmark data already</w:t>
      </w:r>
      <w:r>
        <w:t xml:space="preserve"> </w:t>
      </w:r>
      <w:r>
        <w:t xml:space="preserve">available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 We use:</w:t>
      </w:r>
    </w:p>
    <w:p>
      <w:pPr>
        <w:pStyle w:val="Compact"/>
        <w:numPr>
          <w:ilvl w:val="0"/>
          <w:numId w:val="1001"/>
        </w:numPr>
      </w:pPr>
      <w:r>
        <w:t xml:space="preserve">the daily maximum load extracted from</w:t>
      </w:r>
      <w:r>
        <w:t xml:space="preserve"> </w:t>
      </w:r>
      <w:r>
        <w:rPr>
          <w:rStyle w:val="VerbatimChar"/>
        </w:rPr>
        <w:t xml:space="preserve">EUNITE.Loads</w:t>
      </w:r>
      <w:r>
        <w:t xml:space="preserve"> </w:t>
      </w:r>
      <w:r>
        <w:t xml:space="preserve">as the target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1"/>
        </w:numPr>
      </w:pPr>
      <w:r>
        <w:t xml:space="preserve">the weekday code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x1</w:t>
      </w:r>
    </w:p>
    <w:p>
      <w:pPr>
        <w:pStyle w:val="Compact"/>
        <w:numPr>
          <w:ilvl w:val="0"/>
          <w:numId w:val="1001"/>
        </w:numPr>
      </w:pPr>
      <w:r>
        <w:t xml:space="preserve">a weekend indicator derived from</w:t>
      </w:r>
      <w:r>
        <w:t xml:space="preserve"> </w:t>
      </w:r>
      <w:r>
        <w:rPr>
          <w:rStyle w:val="VerbatimChar"/>
        </w:rPr>
        <w:t xml:space="preserve">EUNITE.Reg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 x1 x2</w:t>
      </w:r>
      <w:r>
        <w:br/>
      </w:r>
      <w:r>
        <w:rPr>
          <w:rStyle w:val="VerbatimChar"/>
        </w:rPr>
        <w:t xml:space="preserve">## 1 797  4  0</w:t>
      </w:r>
      <w:r>
        <w:br/>
      </w:r>
      <w:r>
        <w:rPr>
          <w:rStyle w:val="VerbatimChar"/>
        </w:rPr>
        <w:t xml:space="preserve">## 2 777  5  0</w:t>
      </w:r>
      <w:r>
        <w:br/>
      </w:r>
      <w:r>
        <w:rPr>
          <w:rStyle w:val="VerbatimChar"/>
        </w:rPr>
        <w:t xml:space="preserve">## 3 797  6  0</w:t>
      </w:r>
    </w:p>
    <w:p>
      <w:pPr>
        <w:pStyle w:val="FirstParagraph"/>
      </w:pPr>
      <w:r>
        <w:t xml:space="preserve">The multivariate object preserves the temporal alignment across all variables</w:t>
      </w:r>
      <w:r>
        <w:t xml:space="preserve"> </w:t>
      </w:r>
      <w:r>
        <w:t xml:space="preserve">and can be split in time just like the univariate workflow.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now define one specification for the target and one specification for each</w:t>
      </w:r>
      <w:r>
        <w:t xml:space="preserve"> </w:t>
      </w:r>
      <w:r>
        <w:t xml:space="preserve">auxiliary variable. In this example, the auxiliary variables are deterministic</w:t>
      </w:r>
      <w:r>
        <w:t xml:space="preserve"> </w:t>
      </w:r>
      <w:r>
        <w:t xml:space="preserve">calendar signals, so it is more coherent to forecast them with rule-based</w:t>
      </w:r>
      <w:r>
        <w:t xml:space="preserve"> </w:t>
      </w:r>
      <w:r>
        <w:t xml:space="preserve">univariate predictors instead of generic learners.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ts_deterministic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ts_deterministic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fit the composed multivariate forecasting system on the training portion of</w:t>
      </w:r>
      <w:r>
        <w:t xml:space="preserve"> </w:t>
      </w:r>
      <w:r>
        <w:t xml:space="preserve">the aligned series.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The first forecast mode is one-step ahead. It returns the next value of the</w:t>
      </w:r>
      <w:r>
        <w:t xml:space="preserve"> </w:t>
      </w:r>
      <w:r>
        <w:t xml:space="preserve">target series.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799.21</w:t>
      </w:r>
    </w:p>
    <w:p>
      <w:pPr>
        <w:pStyle w:val="FirstParagraph"/>
      </w:pPr>
      <w:r>
        <w:t xml:space="preserve">The second forecast mode is recursive multi-step prediction. By default, it</w:t>
      </w:r>
      <w:r>
        <w:t xml:space="preserve"> </w:t>
      </w:r>
      <w:r>
        <w:t xml:space="preserve">returns the future path of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799.2100 786.5946 781.4834 756.8355 712.7802</w:t>
      </w:r>
    </w:p>
    <w:p>
      <w:pPr>
        <w:pStyle w:val="FirstParagraph"/>
      </w:pPr>
      <w:r>
        <w:t xml:space="preserve">If we want to inspect the whole recursive system, we can ask for the target and</w:t>
      </w:r>
      <w:r>
        <w:t xml:space="preserve"> </w:t>
      </w:r>
      <w:r>
        <w:t xml:space="preserve">the auxiliary forecasts together.</w:t>
      </w:r>
    </w:p>
    <w:p>
      <w:pPr>
        <w:pStyle w:val="SourceCode"/>
      </w:pP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pred_all</w:t>
      </w:r>
    </w:p>
    <w:p>
      <w:pPr>
        <w:pStyle w:val="SourceCode"/>
      </w:pP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[1] 799.2100 786.5946 781.4834 756.8355 712.7802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$x$x1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$x$x2</w:t>
      </w:r>
      <w:r>
        <w:br/>
      </w:r>
      <w:r>
        <w:rPr>
          <w:rStyle w:val="VerbatimChar"/>
        </w:rPr>
        <w:t xml:space="preserve">## [1] 0 0 0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</w:p>
    <w:p>
      <w:pPr>
        <w:pStyle w:val="FirstParagraph"/>
      </w:pPr>
      <w:r>
        <w:t xml:space="preserve">The multivariate plotting helper reuses the same visual language already used</w:t>
      </w:r>
      <w:r>
        <w:t xml:space="preserve"> </w:t>
      </w:r>
      <w:r>
        <w:t xml:space="preserve">throughout the univariate examples, but now it returns one plot per variable.</w:t>
      </w:r>
    </w:p>
    <w:p>
      <w:pPr>
        <w:pStyle w:val="SourceCode"/>
      </w:pP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pred_all)</w:t>
      </w:r>
    </w:p>
    <w:p>
      <w:pPr>
        <w:pStyle w:val="FirstParagraph"/>
      </w:pPr>
      <w:r>
        <w:t xml:space="preserve">Target trajectory: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cefet-rj-dal\tspredit\examples\multivariate\doc\05-target-centered-regression_files/992ef7fbc41bc33ed5dee475c8246b538aa4af8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cefet-rj-dal\tspredit\examples\multivariate\doc\05-target-centered-regression_files/9cb476dc3d3dd0248709cd5299edb08ec470955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x2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Git\cefet-rj-dal\tspredit\examples\multivariate\doc\05-target-centered-regression_files/eeb7b0adfab0f2dccedded6c2c5b1d275d48a8cb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held-out target values remain available for evaluation against the target</w:t>
      </w:r>
      <w:r>
        <w:t xml:space="preserve"> </w:t>
      </w:r>
      <w:r>
        <w:t xml:space="preserve">forecast.</w:t>
      </w:r>
    </w:p>
    <w:p>
      <w:pPr>
        <w:pStyle w:val="SourceCode"/>
      </w:pP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1 248.2973 0.01737645 0.2671272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ts_data_mv()</w:t>
      </w:r>
      <w:r>
        <w:t xml:space="preserve"> </w:t>
      </w:r>
      <w:r>
        <w:t xml:space="preserve">preserves synchronized multivariate observations before any lag expansion happens.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ts_mv_spec()</w:t>
      </w:r>
      <w:r>
        <w:t xml:space="preserve"> </w:t>
      </w:r>
      <w:r>
        <w:t xml:space="preserve">lets each variable keep its own object-oriented pipeline.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 </w:t>
      </w:r>
      <w:r>
        <w:t xml:space="preserve">coordinates one target model and one auxiliary model per covariate while reusing the learners already available in the univariate package.</w:t>
      </w:r>
      <w:r>
        <w:t xml:space="preserve"> </w:t>
      </w:r>
      <w:r>
        <w:t xml:space="preserve">- Rule-based univariate predictors from the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 </w:t>
      </w:r>
      <w:r>
        <w:t xml:space="preserve">family are often more appropriate than generic learners for deterministic auxiliary variables.</w:t>
      </w:r>
      <w:r>
        <w:t xml:space="preserve"> </w:t>
      </w:r>
      <w:r>
        <w:t xml:space="preserve">- This is the deterministic-auxiliary scenario; the next example in the sequence treats non-deterministic auxiliary variables as endogenous series with their own forecasting models.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&amp; Athanasopoulos, G. Forecasting: Principles and Practice.</w:t>
      </w:r>
      <w:r>
        <w:t xml:space="preserve"> </w:t>
      </w:r>
      <w:r>
        <w:t xml:space="preserve">- Salles, R., Pacitti, E., Bezerra, E., Marques, C., Pacheco, C., Oliveira, C., Porto, F., Ogasawara, E. (2023). TSPredIT: Integrated Tuning of Data Preprocessing and Time Series Prediction Models.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2026-05-18T17:38:35Z</dcterms:created>
  <dcterms:modified xsi:type="dcterms:W3CDTF">2026-05-18T17:38:35Z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