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In the current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contract, the adaptive reference is estimated on</w:t>
      </w:r>
      <w:r>
        <w:t xml:space="preserve"> </w:t>
      </w:r>
      <w:r>
        <w:t xml:space="preserve">the full supervised window, not only on the lagged inputs. So every curve below</w:t>
      </w:r>
      <w:r>
        <w:t xml:space="preserve"> </w:t>
      </w:r>
      <w:r>
        <w:t xml:space="preserve">reflects the complete window-wise transformation that the operator applies in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yt[anchor,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 after the full adaptive</w:t>
      </w:r>
      <w:r>
        <w:t xml:space="preserve"> </w:t>
      </w:r>
      <w:r>
        <w:t xml:space="preserve">normalization pipeline has been applied, including the internal global min-max</w:t>
      </w:r>
      <w:r>
        <w:t xml:space="preserve"> </w:t>
      </w:r>
      <w:r>
        <w:t xml:space="preserve">scaling. It is the clearest way to see how each operator transforms the same</w:t>
      </w:r>
      <w:r>
        <w:t xml:space="preserve"> </w:t>
      </w:r>
      <w:r>
        <w:t xml:space="preserve">lag profile while keeping the vertical scale comparable.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9-adaptive-normalization-comparison_files/ee5c138fd247a89adbdf325e425d1e65bb18bc8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9-adaptive-normalization-comparison_files/4fb27e5aeb936636fd204b3364e705becd020b6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2026-05-20T00:05:02Z</dcterms:created>
  <dcterms:modified xsi:type="dcterms:W3CDTF">2026-05-20T00:05:02Z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