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088" w:rsidRDefault="00502088" w:rsidP="00502088">
      <w:pPr>
        <w:pStyle w:val="Titre2"/>
      </w:pPr>
      <w:r>
        <w:t>Fiche de cas d’utilisation C : Jouer C</w:t>
      </w:r>
      <w:r>
        <w:t>upidon</w:t>
      </w:r>
    </w:p>
    <w:p w:rsidR="00502088" w:rsidRDefault="00502088" w:rsidP="00502088">
      <w:pPr>
        <w:jc w:val="both"/>
        <w:rPr>
          <w:rFonts w:ascii="Tahoma" w:hAnsi="Tahoma" w:cs="Tahoma"/>
          <w:noProof/>
          <w:color w:val="E36C0A"/>
          <w:lang w:val="fr-CA"/>
        </w:rPr>
      </w:pPr>
    </w:p>
    <w:tbl>
      <w:tblPr>
        <w:tblW w:w="9072" w:type="dxa"/>
        <w:tblInd w:w="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68"/>
        <w:gridCol w:w="5387"/>
        <w:gridCol w:w="1417"/>
      </w:tblGrid>
      <w:tr w:rsidR="00502088" w:rsidTr="00502088">
        <w:trPr>
          <w:trHeight w:val="27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502088" w:rsidRDefault="00502088">
            <w:pPr>
              <w:spacing w:after="0"/>
            </w:pP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/>
        </w:tc>
      </w:tr>
      <w:tr w:rsidR="00502088" w:rsidTr="00502088">
        <w:trPr>
          <w:trHeight w:val="25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Résumé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02088" w:rsidRDefault="00502088" w:rsidP="00502088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Jouer C</w:t>
            </w:r>
            <w:r>
              <w:rPr>
                <w:lang w:val="fr-FR"/>
              </w:rPr>
              <w:t>upidon</w:t>
            </w:r>
          </w:p>
        </w:tc>
      </w:tr>
      <w:tr w:rsidR="00502088" w:rsidTr="00502088">
        <w:trPr>
          <w:trHeight w:val="15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Acteur principal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02088" w:rsidRDefault="00502088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Utilisateur</w:t>
            </w:r>
          </w:p>
        </w:tc>
      </w:tr>
      <w:tr w:rsidR="00502088" w:rsidTr="00502088">
        <w:trPr>
          <w:trHeight w:val="261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Intervenants &amp; Rôles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Intervenant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Rôle</w:t>
            </w:r>
          </w:p>
        </w:tc>
      </w:tr>
      <w:tr w:rsidR="00502088" w:rsidTr="0050208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2088" w:rsidRDefault="00502088">
            <w:pPr>
              <w:spacing w:after="0" w:line="256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/>
              <w:rPr>
                <w:lang w:val="fr-FR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/>
            </w:pPr>
          </w:p>
        </w:tc>
      </w:tr>
      <w:tr w:rsidR="00502088" w:rsidTr="0050208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2088" w:rsidRDefault="00502088">
            <w:pPr>
              <w:spacing w:after="0" w:line="256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02088" w:rsidRDefault="00502088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02088" w:rsidRDefault="00502088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fr-FR" w:eastAsia="fr-FR"/>
              </w:rPr>
            </w:pPr>
          </w:p>
        </w:tc>
      </w:tr>
      <w:tr w:rsidR="00502088" w:rsidTr="0050208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2088" w:rsidRDefault="00502088">
            <w:pPr>
              <w:spacing w:after="0" w:line="256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02088" w:rsidRDefault="00502088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02088" w:rsidRDefault="00502088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fr-FR" w:eastAsia="fr-FR"/>
              </w:rPr>
            </w:pPr>
          </w:p>
        </w:tc>
      </w:tr>
      <w:tr w:rsidR="00502088" w:rsidTr="00502088">
        <w:trPr>
          <w:trHeight w:val="30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Préconditions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02088" w:rsidRDefault="00502088" w:rsidP="00502088">
            <w:pPr>
              <w:spacing w:after="0"/>
              <w:contextualSpacing/>
              <w:rPr>
                <w:lang w:val="fr-FR"/>
              </w:rPr>
            </w:pPr>
            <w:r>
              <w:rPr>
                <w:lang w:val="fr-FR"/>
              </w:rPr>
              <w:t>C’est au tour du jouer de jouer</w:t>
            </w:r>
          </w:p>
        </w:tc>
      </w:tr>
      <w:tr w:rsidR="00502088" w:rsidTr="00502088">
        <w:trPr>
          <w:trHeight w:val="24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 xml:space="preserve">Postconditions 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02088" w:rsidRDefault="00502088" w:rsidP="00502088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 xml:space="preserve">Le joueur a fini </w:t>
            </w:r>
            <w:r>
              <w:rPr>
                <w:lang w:val="fr-FR"/>
              </w:rPr>
              <w:t>son tour</w:t>
            </w:r>
          </w:p>
        </w:tc>
      </w:tr>
      <w:tr w:rsidR="00502088" w:rsidTr="00502088">
        <w:trPr>
          <w:trHeight w:val="24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Déclencheur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02088" w:rsidRDefault="00502088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Serveur</w:t>
            </w:r>
          </w:p>
        </w:tc>
      </w:tr>
    </w:tbl>
    <w:p w:rsidR="00502088" w:rsidRDefault="00502088" w:rsidP="00502088"/>
    <w:tbl>
      <w:tblPr>
        <w:tblW w:w="9072" w:type="dxa"/>
        <w:tblInd w:w="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68"/>
        <w:gridCol w:w="709"/>
        <w:gridCol w:w="6095"/>
      </w:tblGrid>
      <w:tr w:rsidR="00502088" w:rsidTr="00502088">
        <w:trPr>
          <w:trHeight w:val="26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Scénario nominal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Étape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Action</w:t>
            </w:r>
          </w:p>
        </w:tc>
      </w:tr>
      <w:tr w:rsidR="00502088" w:rsidTr="00502088">
        <w:trPr>
          <w:trHeight w:val="261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 </w:t>
            </w:r>
          </w:p>
          <w:p w:rsidR="00502088" w:rsidRDefault="00502088">
            <w:pPr>
              <w:spacing w:after="0"/>
            </w:pPr>
            <w:r>
              <w:rPr>
                <w:b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02088" w:rsidRDefault="00502088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1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02088" w:rsidRDefault="00502088" w:rsidP="00502088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 xml:space="preserve">Une indication dans le chat indique au joueur </w:t>
            </w:r>
            <w:r>
              <w:rPr>
                <w:rFonts w:eastAsia="Times New Roman" w:cs="Arial"/>
                <w:lang w:val="fr-FR" w:eastAsia="fr-CA"/>
              </w:rPr>
              <w:t>que c’est son tour de jouer. Une fenêtre contenant la liste des joueurs vivant apparaît. Une indication dans le chat indique au joueur qu’il doit sélectionner deux joueurs à lier.</w:t>
            </w:r>
          </w:p>
        </w:tc>
      </w:tr>
      <w:tr w:rsidR="00502088" w:rsidTr="0050208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502088" w:rsidRDefault="00502088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02088" w:rsidRDefault="00502088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2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02088" w:rsidRDefault="00502088" w:rsidP="00502088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 xml:space="preserve">Le joueur clique sur </w:t>
            </w:r>
            <w:r>
              <w:rPr>
                <w:rFonts w:eastAsia="Times New Roman" w:cs="Arial"/>
                <w:lang w:val="fr-FR" w:eastAsia="fr-CA"/>
              </w:rPr>
              <w:t>deux joueur dans la fenêtre contenant la liste des joueurs.</w:t>
            </w:r>
            <w:bookmarkStart w:id="0" w:name="_GoBack"/>
            <w:bookmarkEnd w:id="0"/>
          </w:p>
        </w:tc>
      </w:tr>
      <w:tr w:rsidR="00502088" w:rsidTr="0050208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502088" w:rsidRDefault="00502088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</w:p>
        </w:tc>
      </w:tr>
      <w:tr w:rsidR="00502088" w:rsidTr="0050208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502088" w:rsidRDefault="00502088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502088" w:rsidTr="0050208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502088" w:rsidRDefault="00502088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502088" w:rsidTr="0050208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502088" w:rsidRDefault="00502088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/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/>
            </w:pPr>
          </w:p>
        </w:tc>
      </w:tr>
    </w:tbl>
    <w:p w:rsidR="00502088" w:rsidRDefault="00502088" w:rsidP="00502088"/>
    <w:tbl>
      <w:tblPr>
        <w:tblW w:w="9072" w:type="dxa"/>
        <w:tblInd w:w="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68"/>
        <w:gridCol w:w="709"/>
        <w:gridCol w:w="6095"/>
      </w:tblGrid>
      <w:tr w:rsidR="00502088" w:rsidTr="00502088">
        <w:trPr>
          <w:trHeight w:val="26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Scénarios alternatifs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Étape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Actions</w:t>
            </w:r>
          </w:p>
        </w:tc>
      </w:tr>
      <w:tr w:rsidR="00502088" w:rsidTr="00502088">
        <w:trPr>
          <w:trHeight w:val="261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 </w:t>
            </w:r>
          </w:p>
          <w:p w:rsidR="00502088" w:rsidRDefault="00502088">
            <w:pPr>
              <w:spacing w:after="0"/>
            </w:pPr>
            <w:r>
              <w:rPr>
                <w:b/>
                <w:bCs/>
              </w:rPr>
              <w:t> </w:t>
            </w:r>
          </w:p>
          <w:p w:rsidR="00502088" w:rsidRDefault="00502088">
            <w:pPr>
              <w:spacing w:after="0"/>
            </w:pPr>
            <w:r>
              <w:rPr>
                <w:b/>
                <w:bCs/>
              </w:rPr>
              <w:t> </w:t>
            </w:r>
          </w:p>
          <w:p w:rsidR="00502088" w:rsidRDefault="00502088">
            <w:pPr>
              <w:spacing w:after="0"/>
            </w:pPr>
            <w:r>
              <w:rPr>
                <w:b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502088" w:rsidTr="0050208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2088" w:rsidRDefault="00502088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502088" w:rsidTr="0050208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2088" w:rsidRDefault="00502088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502088" w:rsidTr="0050208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2088" w:rsidRDefault="00502088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  <w:tr w:rsidR="00502088" w:rsidTr="0050208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2088" w:rsidRDefault="00502088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</w:tbl>
    <w:p w:rsidR="00502088" w:rsidRDefault="00502088" w:rsidP="00502088">
      <w:pPr>
        <w:pStyle w:val="Titre1"/>
        <w:rPr>
          <w:rFonts w:eastAsia="Calibri"/>
        </w:rPr>
      </w:pPr>
    </w:p>
    <w:p w:rsidR="00502088" w:rsidRDefault="00502088" w:rsidP="00502088"/>
    <w:p w:rsidR="00670DB2" w:rsidRDefault="00670DB2"/>
    <w:sectPr w:rsidR="00670DB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FB"/>
    <w:rsid w:val="00502088"/>
    <w:rsid w:val="00670DB2"/>
    <w:rsid w:val="00A8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22755"/>
  <w15:chartTrackingRefBased/>
  <w15:docId w15:val="{0306E0C3-8867-4962-93D2-395A85B7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088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Titre1">
    <w:name w:val="heading 1"/>
    <w:basedOn w:val="Normal"/>
    <w:next w:val="Normal"/>
    <w:link w:val="Titre1Car"/>
    <w:uiPriority w:val="9"/>
    <w:qFormat/>
    <w:rsid w:val="00502088"/>
    <w:pPr>
      <w:outlineLvl w:val="0"/>
    </w:pPr>
    <w:rPr>
      <w:rFonts w:ascii="Tahoma" w:eastAsia="Times New Roman" w:hAnsi="Tahoma" w:cs="Tahoma"/>
      <w:b/>
      <w:noProof/>
      <w:color w:val="5B9BD5" w:themeColor="accent1"/>
      <w:sz w:val="72"/>
      <w:szCs w:val="72"/>
      <w:lang w:val="fr-CA"/>
      <w14:textFill>
        <w14:gradFill>
          <w14:gsLst>
            <w14:gs w14:pos="0">
              <w14:srgbClr w14:val="000000"/>
            </w14:gs>
            <w14:gs w14:pos="100000">
              <w14:srgbClr w14:val="00B0F0"/>
            </w14:gs>
          </w14:gsLst>
          <w14:lin w14:ang="0" w14:scaled="0"/>
        </w14:gradFill>
      </w14:textFill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2088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noProof/>
      <w:color w:val="70AD47" w:themeColor="accent6"/>
      <w:sz w:val="40"/>
      <w:szCs w:val="40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2088"/>
    <w:rPr>
      <w:rFonts w:ascii="Tahoma" w:eastAsia="Times New Roman" w:hAnsi="Tahoma" w:cs="Tahoma"/>
      <w:b/>
      <w:noProof/>
      <w:color w:val="5B9BD5" w:themeColor="accent1"/>
      <w:sz w:val="72"/>
      <w:szCs w:val="72"/>
      <w14:textFill>
        <w14:gradFill>
          <w14:gsLst>
            <w14:gs w14:pos="0">
              <w14:srgbClr w14:val="000000"/>
            </w14:gs>
            <w14:gs w14:pos="100000">
              <w14:srgbClr w14:val="00B0F0"/>
            </w14:gs>
          </w14:gsLst>
          <w14:lin w14:ang="0" w14:scaled="0"/>
        </w14:gradFill>
      </w14:textFill>
    </w:rPr>
  </w:style>
  <w:style w:type="character" w:customStyle="1" w:styleId="Titre2Car">
    <w:name w:val="Titre 2 Car"/>
    <w:basedOn w:val="Policepardfaut"/>
    <w:link w:val="Titre2"/>
    <w:uiPriority w:val="9"/>
    <w:semiHidden/>
    <w:rsid w:val="00502088"/>
    <w:rPr>
      <w:rFonts w:ascii="Arial" w:eastAsiaTheme="majorEastAsia" w:hAnsi="Arial" w:cs="Arial"/>
      <w:b/>
      <w:bCs/>
      <w:noProof/>
      <w:color w:val="70AD47" w:themeColor="accent6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590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2</cp:revision>
  <dcterms:created xsi:type="dcterms:W3CDTF">2018-01-26T19:12:00Z</dcterms:created>
  <dcterms:modified xsi:type="dcterms:W3CDTF">2018-01-26T19:13:00Z</dcterms:modified>
</cp:coreProperties>
</file>