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Stafford Engineering Demo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Live Walkthrough Guide  |  10 Minutes  |  6 Acts</w:t>
      </w:r>
    </w:p>
    <w:p>
      <w:pPr>
        <w:pBdr>
          <w:bottom w:val="single" w:color="2E75B6" w:sz="4" w:space="1"/>
        </w:pBdr>
        <w:spacing w:after="16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Tenant: stafford-engineering  |  Experience Level: Analyst  |  Pre-solve before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CF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🗣 Say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🤖 AI Prompt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👁 Look For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C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📖 How to Read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👉 Do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Fallback</w:t>
            </w:r>
          </w:p>
        </w:tc>
      </w:tr>
    </w:tbl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🌅  ACT 1: Morning Review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2 minutes  |  Overview tab → Gantt → AI Chat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You’re the operations manager at Stafford Engineering. It’s Monday morning. You open the dashboard to see where things stand.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Open the Overview tab. Point at the KPI cards.</w:t>
      </w:r>
    </w:p>
    <w:p>
      <w:pPr>
        <w:pBdr>
          <w:left w:val="single" w:color="2E75B6" w:sz="10" w:space="1"/>
        </w:pBdr>
        <w:shd w:fill="E8F0FA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👁  LOOK FOR:  </w:t>
      </w:r>
      <w:r>
        <w:rPr>
          <w:rFonts w:ascii="Arial" w:cs="Arial" w:eastAsia="Arial" w:hAnsi="Arial"/>
          <w:sz w:val="20"/>
          <w:szCs w:val="20"/>
        </w:rPr>
        <w:t xml:space="preserve">87% feasibility  |  14 conflicts  |  1 availability, 2 capacity, rest dependency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Most conflicts are dependency type — that means they’re cascading from just 1-2 root causes. One blocked weld step cascades to machine, polish, assembly, test. Fix the root cause and the chain unblocks.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87% feasibility — 14 tasks blocked. But look at the conflict types: most are dependencies. That tells me there’s probably just a couple of root causes cascading through the chains. Let’s find out.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Switch to the Schedule tab. Toggle on the Critical Path view (🔗 button in Gantt toolbar).</w:t>
      </w:r>
    </w:p>
    <w:p>
      <w:pPr>
        <w:pBdr>
          <w:left w:val="single" w:color="2E75B6" w:sz="10" w:space="1"/>
        </w:pBdr>
        <w:shd w:fill="E8F0FA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👁  LOOK FOR:  </w:t>
      </w:r>
      <w:r>
        <w:rPr>
          <w:rFonts w:ascii="Arial" w:cs="Arial" w:eastAsia="Arial" w:hAnsi="Arial"/>
          <w:sz w:val="20"/>
          <w:szCs w:val="20"/>
        </w:rPr>
        <w:t xml:space="preserve">Orange-highlighted chain flowing through the DMG Mori 5-Axis Mill. Dimmed tasks elsewhere with slack.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Critical path = the longest chain with zero slack. If any orange task slips, the whole schedule gets longer. Dimmed tasks have float — they can shift without impact. IMPORTANT: the 5-Axis Mill drives the schedule LENGTH but it’s not causing the infeasibility. Those are two different problems.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These orange tasks are the critical path — the 5-Axis Mill owns 42% of the schedule length. Zero slack. But here’s the key insight: the Mill isn’t causing the 14 blocked tasks. Those are a different problem. Let’s ask the AI.</w:t>
      </w:r>
    </w:p>
    <w:p>
      <w:pPr>
        <w:pBdr>
          <w:left w:val="single" w:color="7C3AED" w:sz="10" w:space="1"/>
        </w:pBdr>
        <w:shd w:fill="EDE9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🤖  AI PROMPT: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What’s at risk today and what’s driving the makespan?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The AI will separate two different bottlenecks: (1) 5-Axis Mill drives schedule LENGTH — 42% of critical path, 28.5 hours, 7 tasks. (2) Jack P. drives INFEASIBILITY — EQ-003 and EQ-004 weld tasks routed only to him. It also flags PV-001 as on-track-but-tight, MC-003 as a separate machining issue, and RP-002 as potentially overdue. Let Kaleb absorb this — pause after the response.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Two completely different bottlenecks. The 5-Axis Mill makes the schedule long. Jack’s routing makes tasks infeasible. Different problems, different fixes. Without this tool, you’d spend 15 minutes scanning the Gantt and probably conflate the two.</w:t>
      </w:r>
    </w:p>
    <w:p>
      <w:pPr>
        <w:pBdr>
          <w:left w:val="single" w:color="DC2626" w:sz="10" w:space="1"/>
        </w:pBdr>
        <w:shd w:fill="FEE2E2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IF THIS HAPPENS:  </w:t>
      </w:r>
      <w:r>
        <w:rPr>
          <w:rFonts w:ascii="Arial" w:cs="Arial" w:eastAsia="Arial" w:hAnsi="Arial"/>
          <w:sz w:val="20"/>
          <w:szCs w:val="20"/>
        </w:rPr>
        <w:t xml:space="preserve">If the AI gives a weak answer, go to the Conflicts tab manually and click an infeasible task. The bottleneck panel shows the same data. Say: “The AI gives this conversationally, but it’s also structured data in the task detail.”</w:t>
      </w:r>
    </w:p>
    <w:p>
      <w:r>
        <w:br w:type="page"/>
      </w:r>
    </w:p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🔍  ACT 2: Investigate the Bottleneck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2 minutes  |  AI Chat  |  Impact Analysis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Two problems — fabrication and machining. Let’s tackle fabrication first. Those are customer orders.</w:t>
      </w:r>
    </w:p>
    <w:p>
      <w:pPr>
        <w:pBdr>
          <w:left w:val="single" w:color="7C3AED" w:sz="10" w:space="1"/>
        </w:pBdr>
        <w:shd w:fill="EDE9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🤖  AI PROMPT: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Why can’t EQ-003 schedule?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The AI will show: EQ-003 weld is routed ONLY to Jack P. Jack’s slots are consumed by higher-priority work (PV-001, PV-002 ASME seam welds, EQ-004 clutch bracket). It will show Jack’s hour-by-hour availability and where the conflicts are. The chain has 2/7 phases scheduled and 5 infeasible — all cascading from the blocked weld step.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See what it found? Jack isn’t overloaded — he’s at 46% utilization. The problem is the routing only allows him for these welds. Nobody updated it. The ASME seam welds genuinely need Jack. But these equipment frame welds are standard TIG.</w:t>
      </w:r>
    </w:p>
    <w:p>
      <w:pPr>
        <w:pBdr>
          <w:left w:val="single" w:color="7C3AED" w:sz="10" w:space="1"/>
        </w:pBdr>
        <w:shd w:fill="EDE9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🤖  AI PROMPT: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Are Luke or Aroha qualified to do the EQ-003 and EQ-004 weld tasks? Those are standard TIG, not ASME.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The AI may confirm Luke/Aroha can do it, or it may say it can’t see certification data. EITHER response is fine. If it confirms: great, move to the fix. If it says it doesn’t know: that’s your opening — “This is tribal knowledge in the planner’s head. The AI shows the schedule data, the planner adds the domain expertise. Together they solve it in 30 seconds.”</w:t>
      </w:r>
    </w:p>
    <w:p>
      <w:pPr>
        <w:pBdr>
          <w:left w:val="single" w:color="DC2626" w:sz="10" w:space="1"/>
        </w:pBdr>
        <w:shd w:fill="FEE2E2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IF THIS HAPPENS:  </w:t>
      </w:r>
      <w:r>
        <w:rPr>
          <w:rFonts w:ascii="Arial" w:cs="Arial" w:eastAsia="Arial" w:hAnsi="Arial"/>
          <w:sz w:val="20"/>
          <w:szCs w:val="20"/>
        </w:rPr>
        <w:t xml:space="preserve">If the AI suggests moving ASME welds to Luke/Aroha, say: “Good catch — those require ASME certification only Jack has. We model that through resource routing today, and we’re adding attribute-based matching so the engine knows automatically. That’s why beta partners matter.”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AI found the problem. It’s not capacity — it’s a routing constraint. Luke is at 26%, Aroha at 34%. They have room. Let’s fix it.</w:t>
      </w:r>
    </w:p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🔧  ACT 3: Fix 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2 minutes  |  Schedule tab  |  Resource Redirect  |  Solve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AI told us exactly what to do. Let’s redirect those weld tasks.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Schedule tab → Filter task table by Resource → Jack P.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Select EQ-003-WELD and EQ-004-WELD (checkboxes)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Click “Set Resource Preference” in the selection toolbar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Set Jack P. → EXCLUDED  |  Luke M. → PREFERRED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Click Apply → Stale banner appears → Click Review &amp; Solve → Solve Now</w:t>
      </w:r>
    </w:p>
    <w:p>
      <w:pPr>
        <w:pBdr>
          <w:left w:val="single" w:color="2E75B6" w:sz="10" w:space="1"/>
        </w:pBdr>
        <w:shd w:fill="E8F0FA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👁  LOOK FOR:  </w:t>
      </w:r>
      <w:r>
        <w:rPr>
          <w:rFonts w:ascii="Arial" w:cs="Arial" w:eastAsia="Arial" w:hAnsi="Arial"/>
          <w:sz w:val="20"/>
          <w:szCs w:val="20"/>
        </w:rPr>
        <w:t xml:space="preserve">Feasibility jumps from 87% to ~94%. EQ-003 weld moves to Luke. EQ-004 may or may not move — depends on Luke’s availability.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If Luke only picked up EQ-003: “Luke got the Dairy Co-op weld — that unblocks the customer chain. EQ-004 couldn’t fit on Luke, so it stays with Jack. That’s the solver being honest — it doesn’t force a fit that doesn’t work.” If both moved: “Both customer weld tasks are now on Luke. ASME welds stayed on Jack. Problem solved.”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went from 87% to 94% feasibility in under a minute. The Dairy Co-op is unblocked. We didn’t touch the critical path, didn’t disrupt other customer orders, and the planner made a conscious decision to prioritize customer work over the internal job. That’s surgical scheduling.</w:t>
      </w:r>
    </w:p>
    <w:p>
      <w:pPr>
        <w:pBdr>
          <w:left w:val="single" w:color="DC2626" w:sz="10" w:space="1"/>
        </w:pBdr>
        <w:shd w:fill="FEE2E2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IF THIS HAPPENS:  </w:t>
      </w:r>
      <w:r>
        <w:rPr>
          <w:rFonts w:ascii="Arial" w:cs="Arial" w:eastAsia="Arial" w:hAnsi="Arial"/>
          <w:sz w:val="20"/>
          <w:szCs w:val="20"/>
        </w:rPr>
        <w:t xml:space="preserve">If feasibility doesn’t improve: Luke might be tighter than expected. Try Aroha as PREFERRED instead, or unschedule a lower-priority task on Luke first. Say: “Sometimes the fix is two steps — free capacity, then redirect.”</w:t>
      </w:r>
    </w:p>
    <w:p>
      <w:r>
        <w:br w:type="page"/>
      </w:r>
    </w:p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📞  ACT 4: Customer Emergency — CTP Query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2 minutes  |  CTP Query dialog  |  The “can we deliver” moment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Morning fires are under control. Now the phone rings. Fonterra’s dairy plant had a pump failure. They need an emergency replacement. Can we fit it?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Click the “CTP Query” button in the toolbar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Fill in: Based on RP-001  |  Name: “Fonterra Pump Repair #2”  |  Need by: March 28  |  Priority: HIGH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Click Evaluate</w:t>
      </w:r>
    </w:p>
    <w:p>
      <w:pPr>
        <w:pBdr>
          <w:left w:val="single" w:color="2E75B6" w:sz="10" w:space="1"/>
        </w:pBdr>
        <w:shd w:fill="E8F0FA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👁  LOOK FOR:  </w:t>
      </w:r>
      <w:r>
        <w:rPr>
          <w:rFonts w:ascii="Arial" w:cs="Arial" w:eastAsia="Arial" w:hAnsi="Arial"/>
          <w:sz w:val="20"/>
          <w:szCs w:val="20"/>
        </w:rPr>
        <w:t xml:space="preserve">Summary banner: “Can deliver: March 26” — 2 days before the deadline. Options listed with resources and completion dates. Ghost bars may appear on Gantt.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The CTP query evaluates against the live digital twin WITHOUT changing anything. It’s a read-only simulation. The planner gets a confident answer while the customer is still on the phone. Multiple options are ranked so the planner can choose the best fit.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March 26 — tight, but doable. Two days before Fonterra’s deadline. We answered that in 30 seconds, on the phone, with confidence. No “let me check and call you back tomorrow.”</w:t>
      </w:r>
    </w:p>
    <w:p>
      <w:pPr>
        <w:pBdr>
          <w:bottom w:val="single" w:color="2E75B6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Important: The CTP Query Does NOT Book the Order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CTP tells you what’s POSSIBLE. It doesn’t create the order. The actual order gets created in the ERP by whoever owns that workflow — sales, planning, customer service. Then the ERP syncs to CTP and the next solve slots it in. This is by design: the ERP stays the system of record. CTP is the scheduling brain.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Notice: the CTP query answered the question without changing the schedule. The order creation happens in your ERP — not here. CTP is the intelligence layer. Your ERP is the system of record. That’s by design.</w:t>
      </w:r>
    </w:p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📋  ACT 5: Full Status Report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1 minute  |  AI Chat  |  The confidence builder</w:t>
      </w:r>
    </w:p>
    <w:p>
      <w:pPr>
        <w:pBdr>
          <w:left w:val="single" w:color="7C3AED" w:sz="10" w:space="1"/>
        </w:pBdr>
        <w:shd w:fill="EDE9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🤖  AI PROMPT: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Give me a status update for all customer orders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The AI produces a FULL customer status report: every order grouped by urgency, priority breakdown, infeasible chains with root causes, recommended actions, and overdue flagging. This is the morning briefing a planner would spend 30 minutes compiling from three different screens. Key things to point out: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 ordering works: </w:t>
      </w:r>
      <w:r>
        <w:rPr>
          <w:rFonts w:ascii="Arial" w:cs="Arial" w:eastAsia="Arial" w:hAnsi="Arial"/>
          <w:sz w:val="21"/>
          <w:szCs w:val="21"/>
        </w:rPr>
        <w:t xml:space="preserve">Emergency orders (P10) delivered days early. Lower priority is where risk lives. That’s correct.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Honest about problems: </w:t>
      </w:r>
      <w:r>
        <w:rPr>
          <w:rFonts w:ascii="Arial" w:cs="Arial" w:eastAsia="Arial" w:hAnsi="Arial"/>
          <w:sz w:val="21"/>
          <w:szCs w:val="21"/>
        </w:rPr>
        <w:t xml:space="preserve">RP-002 shows overdue by 7 hours. The tool doesn’t hide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Cascade visibility: </w:t>
      </w:r>
      <w:r>
        <w:rPr>
          <w:rFonts w:ascii="Arial" w:cs="Arial" w:eastAsia="Arial" w:hAnsi="Arial"/>
          <w:sz w:val="21"/>
          <w:szCs w:val="21"/>
        </w:rPr>
        <w:t xml:space="preserve">EQ-003 shows 5 infeasible phases from one blocked weld. The root cause is clear.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Actionable: </w:t>
      </w:r>
      <w:r>
        <w:rPr>
          <w:rFonts w:ascii="Arial" w:cs="Arial" w:eastAsia="Arial" w:hAnsi="Arial"/>
          <w:sz w:val="21"/>
          <w:szCs w:val="21"/>
        </w:rPr>
        <w:t xml:space="preserve">Each problem has recommended next steps, not just a red flag.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what the AI gives your planner at any moment — a complete customer status report. Every order, every risk, every bottleneck, with recommended actions. No Gantt chart scanning, no cross-referencing spreadsheets. And look — it’s honest. RP-002 is overdue. The tool doesn’t pretend everything’s fine.</w:t>
      </w:r>
    </w:p>
    <w:p>
      <w:pPr>
        <w:pBdr>
          <w:left w:val="single" w:color="DC2626" w:sz="10" w:space="1"/>
        </w:pBdr>
        <w:shd w:fill="FEE2E2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 IF THIS HAPPENS:  </w:t>
      </w:r>
      <w:r>
        <w:rPr>
          <w:rFonts w:ascii="Arial" w:cs="Arial" w:eastAsia="Arial" w:hAnsi="Arial"/>
          <w:sz w:val="20"/>
          <w:szCs w:val="20"/>
        </w:rPr>
        <w:t xml:space="preserve">If Kaleb asks about the overdue order: “The tool surfaces problems immediately so you can escalate in real time, not discover them at the end of the week. That RP-002 flag would have hit the planner’s screen this morning.”</w:t>
      </w:r>
    </w:p>
    <w:p>
      <w:r>
        <w:br w:type="page"/>
      </w:r>
    </w:p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⚙  ACT 6: Scoring Configuration (Optional)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1 minute  |  Settings  |  The “this adapts to your shop” closer</w:t>
      </w:r>
    </w:p>
    <w:p>
      <w:pPr>
        <w:pBdr>
          <w:left w:val="single" w:color="4A5568" w:sz="10" w:space="1"/>
        </w:pBdr>
        <w:shd w:fill="F7FAFC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👉  DO:  </w:t>
      </w:r>
      <w:r>
        <w:rPr>
          <w:rFonts w:ascii="Arial" w:cs="Arial" w:eastAsia="Arial" w:hAnsi="Arial"/>
          <w:sz w:val="20"/>
          <w:szCs w:val="20"/>
        </w:rPr>
        <w:t xml:space="preserve">Click Settings gear → Left nav → Scoring Rules</w:t>
      </w:r>
    </w:p>
    <w:p>
      <w:pPr>
        <w:pBdr>
          <w:left w:val="single" w:color="2E75B6" w:sz="10" w:space="1"/>
        </w:pBdr>
        <w:shd w:fill="E8F0FA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👁  LOOK FOR:  </w:t>
      </w:r>
      <w:r>
        <w:rPr>
          <w:rFonts w:ascii="Arial" w:cs="Arial" w:eastAsia="Arial" w:hAnsi="Arial"/>
          <w:sz w:val="20"/>
          <w:szCs w:val="20"/>
        </w:rPr>
        <w:t xml:space="preserve">5 scoring rules with weights: DueDate 35%, Utilization 20%, Changeover 20%, EarliestStart 15%, Preference 10%</w:t>
      </w:r>
    </w:p>
    <w:p>
      <w:pPr>
        <w:pBdr>
          <w:left w:val="single" w:color="CA8A04" w:sz="10" w:space="1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📖  HOW TO READ:  </w:t>
      </w:r>
      <w:r>
        <w:rPr>
          <w:rFonts w:ascii="Arial" w:cs="Arial" w:eastAsia="Arial" w:hAnsi="Arial"/>
          <w:sz w:val="20"/>
          <w:szCs w:val="20"/>
        </w:rPr>
        <w:t xml:space="preserve">These weights tell the engine what matters most. For a job shop like Stafford, due date compliance is #1. A hospital would weight EarliestStart highest. A pharma plant would weight Changeover highest. Same engine, different priorities. The weights are configurable per tenant and will eventually be machine-learnable as planners accept/reject schedules over time.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These are your scheduling priorities expressed as numbers. Due date is 35% because for a job shop, shipping on time is everything. Changeover is 20% because setup time eats capacity. Change the weights, re-solve, see the difference. Same engine adapts to any environment through configuration, not code.</w:t>
      </w:r>
    </w:p>
    <w:p>
      <w:pPr>
        <w:shd w:fill="1B4F8A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🎯  CLOSING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 10 minutes: we opened the dashboard, the AI identified two different bottlenecks, we redirected two weld tasks, feasibility jumped from 87% to 94%, we answered a CTP query for Fonterra in 30 seconds, and we got a full status report we could email to management. That’s the product: a digital twin of your shop, an AI that understands your schedule, and an engine that answers the hard questions in real time.</w:t>
      </w:r>
    </w:p>
    <w:p>
      <w:pPr>
        <w:pBdr>
          <w:bottom w:val="single" w:color="2E75B6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Kaleb Should Be Feeling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4F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 Moment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4F8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Replaces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morning briefing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15-20 min scanning Gantt + whiteboard + ERP screens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Bottleneck diagnosis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Tribal knowledge in the foreman’s head. If he’s off sick, nobody knows.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Resource redirect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1+ hour of manual replanning, moving sticky notes on the whiteboard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CTP query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“Let me check and call you back tomorrow”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 verification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“Every time I move something, I worry about what I broke”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status report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min compiling from three different systems. Or it just doesn’t happen.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Scoring config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“This is built for MY shop, not a generic template”</w:t>
            </w:r>
          </w:p>
        </w:tc>
      </w:tr>
    </w:tbl>
    <w:p>
      <w:pPr>
        <w:spacing w:before="200"/>
      </w:pPr>
    </w:p>
    <w:p>
      <w:pPr>
        <w:pBdr>
          <w:bottom w:val="single" w:color="2E75B6" w:sz="3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Transition to Next Steps</w:t>
      </w:r>
    </w:p>
    <w:p>
      <w:pPr>
        <w:pBdr>
          <w:left w:val="single" w:color="16A34A" w:sz="10" w:space="1"/>
        </w:pBdr>
        <w:shd w:fill="DCFCE7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🗣  SAY: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was a demo dataset modeled on a real New Zealand job shop. The next step would be to take a sample of YOUR data — jobs, routings, resources, calendars — and show you what CTP does with your actual operation. That’s when it gets real.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4F8A"/>
        <w:sz w:val="16"/>
        <w:szCs w:val="16"/>
      </w:rPr>
      <w:t xml:space="preserve">STAFFORD DEMO CHEAT SHEET</w:t>
    </w: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  —  Keep beside your screen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2026-03-19T02:05:23.312Z</dcterms:created>
  <dcterms:modified xsi:type="dcterms:W3CDTF">2026-03-19T02:05:23.313Z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