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2E75B6"/>
          <w:sz w:val="18"/>
          <w:szCs w:val="18"/>
        </w:rPr>
        <w:t xml:space="preserve">CTP PLATFORM</w:t>
      </w:r>
    </w:p>
    <w:p>
      <w:pPr>
        <w:spacing w:after="80"/>
      </w:pPr>
      <w:r>
        <w:rPr>
          <w:rFonts w:ascii="Arial" w:cs="Arial" w:eastAsia="Arial" w:hAnsi="Arial"/>
          <w:b/>
          <w:bCs/>
          <w:color w:val="1B3A5C"/>
          <w:sz w:val="36"/>
          <w:szCs w:val="36"/>
        </w:rPr>
        <w:t xml:space="preserve">Beta Partnership Terms Sheet</w:t>
      </w:r>
    </w:p>
    <w:p>
      <w:pPr>
        <w:spacing w:after="40"/>
      </w:pPr>
      <w:r>
        <w:rPr>
          <w:rFonts w:ascii="Arial" w:cs="Arial" w:eastAsia="Arial" w:hAnsi="Arial"/>
          <w:i/>
          <w:iCs/>
          <w:color w:val="888888"/>
          <w:sz w:val="20"/>
          <w:szCs w:val="20"/>
        </w:rPr>
        <w:t xml:space="preserve">CONFIDENTIAL — Framework for Discussion</w:t>
      </w:r>
    </w:p>
    <w:p>
      <w:pPr>
        <w:spacing w:after="200"/>
      </w:pPr>
      <w:r>
        <w:rPr>
          <w:rFonts w:ascii="Arial" w:cs="Arial" w:eastAsia="Arial" w:hAnsi="Arial"/>
          <w:color w:val="888888"/>
          <w:sz w:val="20"/>
          <w:szCs w:val="20"/>
        </w:rPr>
        <w:t xml:space="preserve">Prepared: March 2026 | This is a discussion framework, not a binding legal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Purpose: </w:t>
            </w:r>
            <w:r>
              <w:rPr>
                <w:rFonts w:ascii="Arial" w:cs="Arial" w:eastAsia="Arial" w:hAnsi="Arial"/>
                <w:sz w:val="22"/>
                <w:szCs w:val="22"/>
              </w:rPr>
              <w:t xml:space="preserve">CTP is seeking a small number of beta partners to co-develop an AI-powered scheduling and what-if scenario platform for mid-market manufacturers. Beta partners receive early access at a significantly reduced rate in exchange for active feedback, real-world usage, and collaboration that shapes the product roadmap.</w:t>
            </w:r>
          </w:p>
          <w:p>
            <w:pPr>
              <w:spacing w:after="0"/>
            </w:pPr>
            <w:r>
              <w:rPr>
                <w:rFonts w:ascii="Arial" w:cs="Arial" w:eastAsia="Arial" w:hAnsi="Arial"/>
                <w:b/>
                <w:bCs/>
                <w:color w:val="1B3A5C"/>
                <w:sz w:val="22"/>
                <w:szCs w:val="22"/>
              </w:rPr>
              <w:t xml:space="preserve">This is a partnership, not a pilot. </w:t>
            </w:r>
            <w:r>
              <w:rPr>
                <w:rFonts w:ascii="Arial" w:cs="Arial" w:eastAsia="Arial" w:hAnsi="Arial"/>
                <w:sz w:val="22"/>
                <w:szCs w:val="22"/>
              </w:rPr>
              <w:t xml:space="preserve">Both sides are investing in a shared outcome — a scheduling platform built for how manufacturers actually work.</w:t>
            </w:r>
          </w:p>
        </w:tc>
      </w:tr>
    </w:tbl>
    <w:p>
      <w:pPr>
        <w:spacing w:after="200"/>
      </w:pPr>
    </w:p>
    <w:p>
      <w:pPr>
        <w:pBdr>
          <w:bottom w:val="single" w:color="1B3A5C" w:sz="4" w:space="4"/>
        </w:pBdr>
        <w:spacing w:after="140" w:before="300"/>
      </w:pPr>
      <w:r>
        <w:rPr>
          <w:rFonts w:ascii="Arial" w:cs="Arial" w:eastAsia="Arial" w:hAnsi="Arial"/>
          <w:b/>
          <w:bCs/>
          <w:color w:val="1B3A5C"/>
          <w:sz w:val="26"/>
          <w:szCs w:val="26"/>
        </w:rPr>
        <w:t xml:space="preserve">1. Partnership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Beta Period</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pPr>
            <w:r>
              <w:rPr>
                <w:rFonts w:ascii="Arial" w:cs="Arial" w:eastAsia="Arial" w:hAnsi="Arial"/>
                <w:sz w:val="21"/>
                <w:szCs w:val="21"/>
              </w:rPr>
              <w:t xml:space="preserve">6 months from onboarding date</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Extension Option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1"/>
                <w:szCs w:val="21"/>
              </w:rPr>
              <w:t xml:space="preserve">One 3-month extension by mutual agreement if additional product development cycles are needed</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Total Maximum Beta Term</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pPr>
            <w:r>
              <w:rPr>
                <w:rFonts w:ascii="Arial" w:cs="Arial" w:eastAsia="Arial" w:hAnsi="Arial"/>
                <w:sz w:val="21"/>
                <w:szCs w:val="21"/>
              </w:rPr>
              <w:t xml:space="preserve">9 months</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Transition to Commercial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1"/>
                <w:szCs w:val="21"/>
              </w:rPr>
              <w:t xml:space="preserve">At end of beta period, the partnership transitions to commercial terms (see Section 3). Transition conversation begins at Month 5 so there are no surprises.</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Early Termination</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pPr>
            <w:r>
              <w:rPr>
                <w:rFonts w:ascii="Arial" w:cs="Arial" w:eastAsia="Arial" w:hAnsi="Arial"/>
                <w:sz w:val="21"/>
                <w:szCs w:val="21"/>
              </w:rPr>
              <w:t xml:space="preserve">Either party may exit with 30 days written notice. Clean data export/deletion process applies (see Section 6).</w:t>
            </w:r>
          </w:p>
        </w:tc>
      </w:tr>
    </w:tbl>
    <w:p>
      <w:pPr>
        <w:pBdr>
          <w:bottom w:val="single" w:color="1B3A5C" w:sz="4" w:space="4"/>
        </w:pBdr>
        <w:spacing w:after="140" w:before="300"/>
      </w:pPr>
      <w:r>
        <w:rPr>
          <w:rFonts w:ascii="Arial" w:cs="Arial" w:eastAsia="Arial" w:hAnsi="Arial"/>
          <w:b/>
          <w:bCs/>
          <w:color w:val="1B3A5C"/>
          <w:sz w:val="26"/>
          <w:szCs w:val="26"/>
        </w:rPr>
        <w:t xml:space="preserve">2. Beta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Beta Rate</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pPr>
            <w:r>
              <w:rPr>
                <w:rFonts w:ascii="Arial" w:cs="Arial" w:eastAsia="Arial" w:hAnsi="Arial"/>
                <w:sz w:val="21"/>
                <w:szCs w:val="21"/>
              </w:rPr>
              <w:t xml:space="preserve">$[___]/month (to be discussed)</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Pricing Principle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1"/>
                <w:szCs w:val="21"/>
              </w:rPr>
              <w:t xml:space="preserve">The beta rate reflects the partnership phase — a steep discount acknowledging that the partner is using alpha-stage software and actively shaping the product. This rate does NOT define future commercial pricing.</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What’s Included</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pPr>
            <w:r>
              <w:rPr>
                <w:rFonts w:ascii="Arial" w:cs="Arial" w:eastAsia="Arial" w:hAnsi="Arial"/>
                <w:sz w:val="21"/>
                <w:szCs w:val="21"/>
              </w:rPr>
              <w:t xml:space="preserve">Full platform access for up to [___] users</w:t>
            </w:r>
          </w:p>
          <w:p>
            <w:pPr>
              <w:spacing w:after="60"/>
            </w:pPr>
            <w:r>
              <w:rPr>
                <w:rFonts w:ascii="Arial" w:cs="Arial" w:eastAsia="Arial" w:hAnsi="Arial"/>
                <w:sz w:val="21"/>
                <w:szCs w:val="21"/>
              </w:rPr>
              <w:t xml:space="preserve">AI-powered scheduling engine</w:t>
            </w:r>
          </w:p>
          <w:p>
            <w:pPr>
              <w:spacing w:after="60"/>
            </w:pPr>
            <w:r>
              <w:rPr>
                <w:rFonts w:ascii="Arial" w:cs="Arial" w:eastAsia="Arial" w:hAnsi="Arial"/>
                <w:sz w:val="21"/>
                <w:szCs w:val="21"/>
              </w:rPr>
              <w:t xml:space="preserve">What-if scenario and query capabilities</w:t>
            </w:r>
          </w:p>
          <w:p>
            <w:pPr>
              <w:spacing w:after="60"/>
            </w:pPr>
            <w:r>
              <w:rPr>
                <w:rFonts w:ascii="Arial" w:cs="Arial" w:eastAsia="Arial" w:hAnsi="Arial"/>
                <w:sz w:val="21"/>
                <w:szCs w:val="21"/>
              </w:rPr>
              <w:t xml:space="preserve">Priority support via direct channel (email / Slack / video)</w:t>
            </w:r>
          </w:p>
          <w:p>
            <w:pPr>
              <w:spacing w:after="60"/>
            </w:pPr>
            <w:r>
              <w:rPr>
                <w:rFonts w:ascii="Arial" w:cs="Arial" w:eastAsia="Arial" w:hAnsi="Arial"/>
                <w:sz w:val="21"/>
                <w:szCs w:val="21"/>
              </w:rPr>
              <w:t xml:space="preserve">Biweekly check-in calls with the CTP team</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Payment Terms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1"/>
                <w:szCs w:val="21"/>
              </w:rPr>
              <w:t xml:space="preserve">Monthly, invoiced on the 1st of each month. Net 14 days.</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No Commitment Beyond Beta</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pPr>
            <w:r>
              <w:rPr>
                <w:rFonts w:ascii="Arial" w:cs="Arial" w:eastAsia="Arial" w:hAnsi="Arial"/>
                <w:sz w:val="21"/>
                <w:szCs w:val="21"/>
              </w:rPr>
              <w:t xml:space="preserve">Beta pricing is for the defined beta period only. There is no obligation to continue beyond the beta term.</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60"/>
              <w:left w:type="dxa" w:w="200"/>
              <w:bottom w:type="dxa" w:w="160"/>
              <w:right w:type="dxa" w:w="200"/>
            </w:tcMar>
          </w:tcPr>
          <w:p>
            <w:pPr>
              <w:spacing w:after="80"/>
            </w:pPr>
            <w:r>
              <w:rPr>
                <w:rFonts w:ascii="Arial" w:cs="Arial" w:eastAsia="Arial" w:hAnsi="Arial"/>
                <w:b/>
                <w:bCs/>
                <w:color w:val="B71C1C"/>
                <w:sz w:val="20"/>
                <w:szCs w:val="20"/>
              </w:rPr>
              <w:t xml:space="preserve">Pricing guidance (internal — do not share with partner): </w:t>
            </w:r>
          </w:p>
          <w:p>
            <w:pPr>
              <w:spacing w:after="60"/>
            </w:pPr>
            <w:r>
              <w:rPr>
                <w:rFonts w:ascii="Arial" w:cs="Arial" w:eastAsia="Arial" w:hAnsi="Arial"/>
                <w:sz w:val="20"/>
                <w:szCs w:val="20"/>
              </w:rPr>
              <w:t xml:space="preserve">Target commercial range: $1,500–$3,000/month for a mid-market manufacturer (~1,000 tasks).</w:t>
            </w:r>
          </w:p>
          <w:p>
            <w:pPr>
              <w:spacing w:after="60"/>
            </w:pPr>
            <w:r>
              <w:rPr>
                <w:rFonts w:ascii="Arial" w:cs="Arial" w:eastAsia="Arial" w:hAnsi="Arial"/>
                <w:sz w:val="20"/>
                <w:szCs w:val="20"/>
              </w:rPr>
              <w:t xml:space="preserve">Beta rate target: $300–$500/month (roughly 75–80% discount off expected commercial).</w:t>
            </w:r>
          </w:p>
          <w:p>
            <w:pPr>
              <w:spacing w:after="60"/>
            </w:pPr>
            <w:r>
              <w:rPr>
                <w:rFonts w:ascii="Arial" w:cs="Arial" w:eastAsia="Arial" w:hAnsi="Arial"/>
                <w:sz w:val="20"/>
                <w:szCs w:val="20"/>
              </w:rPr>
              <w:t xml:space="preserve">Anchor to value: their Genius ERP costs ~$1,500/month for 10 users. CTP should be priced as a high-value add-on, not a cheap utility.</w:t>
            </w:r>
          </w:p>
          <w:p>
            <w:pPr>
              <w:spacing w:after="0"/>
            </w:pPr>
            <w:r>
              <w:rPr>
                <w:rFonts w:ascii="Arial" w:cs="Arial" w:eastAsia="Arial" w:hAnsi="Arial"/>
                <w:b/>
                <w:bCs/>
                <w:sz w:val="20"/>
                <w:szCs w:val="20"/>
              </w:rPr>
              <w:t xml:space="preserve">Don’t lead with a number. Let discovery establish value first.</w:t>
            </w:r>
          </w:p>
        </w:tc>
      </w:tr>
    </w:tbl>
    <w:p>
      <w:pPr>
        <w:pBdr>
          <w:bottom w:val="single" w:color="1B3A5C" w:sz="4" w:space="4"/>
        </w:pBdr>
        <w:spacing w:after="140" w:before="300"/>
      </w:pPr>
      <w:r>
        <w:rPr>
          <w:rFonts w:ascii="Arial" w:cs="Arial" w:eastAsia="Arial" w:hAnsi="Arial"/>
          <w:b/>
          <w:bCs/>
          <w:color w:val="1B3A5C"/>
          <w:sz w:val="26"/>
          <w:szCs w:val="26"/>
        </w:rPr>
        <w:t xml:space="preserve">3. Post-Beta Commercial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Commercial Pricing</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pPr>
            <w:r>
              <w:rPr>
                <w:rFonts w:ascii="Arial" w:cs="Arial" w:eastAsia="Arial" w:hAnsi="Arial"/>
                <w:sz w:val="21"/>
                <w:szCs w:val="21"/>
              </w:rPr>
              <w:t xml:space="preserve">Separate conversation from beta pricing. Commercial rates will be determined based on product maturity, feature set, and market positioning at the time of transition.</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Founder Partner Discount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1"/>
                <w:szCs w:val="21"/>
              </w:rPr>
              <w:t xml:space="preserve">Beta partners who complete the full beta period receive a permanent discount of [20–30]% off published commercial pricing as recognition of their contribution to product development.</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Transition Timeline</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pPr>
            <w:r>
              <w:rPr>
                <w:rFonts w:ascii="Arial" w:cs="Arial" w:eastAsia="Arial" w:hAnsi="Arial"/>
                <w:sz w:val="21"/>
                <w:szCs w:val="21"/>
              </w:rPr>
              <w:t xml:space="preserve">Commercial pricing discussion begins in Month 5 of beta. New terms take effect the month following beta expiration.</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No Price Lock Obligation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1"/>
                <w:szCs w:val="21"/>
              </w:rPr>
              <w:t xml:space="preserve">The beta rate creates no expectation or obligation regarding future pricing. Both parties acknowledge the beta rate reflects a unique partnership phase.</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Annual Agreement Option</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pPr>
            <w:r>
              <w:rPr>
                <w:rFonts w:ascii="Arial" w:cs="Arial" w:eastAsia="Arial" w:hAnsi="Arial"/>
                <w:sz w:val="21"/>
                <w:szCs w:val="21"/>
              </w:rPr>
              <w:t xml:space="preserve">Post-beta, partners may opt for annual billing at an additional discount vs. monthly.</w:t>
            </w:r>
          </w:p>
        </w:tc>
      </w:tr>
    </w:tbl>
    <w:p>
      <w:pPr>
        <w:pBdr>
          <w:bottom w:val="single" w:color="1B3A5C" w:sz="4" w:space="4"/>
        </w:pBdr>
        <w:spacing w:after="140" w:before="300"/>
      </w:pPr>
      <w:r>
        <w:rPr>
          <w:rFonts w:ascii="Arial" w:cs="Arial" w:eastAsia="Arial" w:hAnsi="Arial"/>
          <w:b/>
          <w:bCs/>
          <w:color w:val="1B3A5C"/>
          <w:sz w:val="26"/>
          <w:szCs w:val="26"/>
        </w:rPr>
        <w:t xml:space="preserve">4. Confidentiality &amp; NDA</w:t>
      </w:r>
    </w:p>
    <w:p>
      <w:pPr>
        <w:spacing w:after="120" w:before="0"/>
      </w:pPr>
      <w:r>
        <w:rPr>
          <w:rFonts w:ascii="Arial" w:cs="Arial" w:eastAsia="Arial" w:hAnsi="Arial"/>
          <w:sz w:val="22"/>
          <w:szCs w:val="22"/>
        </w:rPr>
        <w:t xml:space="preserve">A mutual NDA will be executed separately, covering: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CTP Confidential Info</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pPr>
            <w:r>
              <w:rPr>
                <w:rFonts w:ascii="Arial" w:cs="Arial" w:eastAsia="Arial" w:hAnsi="Arial"/>
                <w:sz w:val="21"/>
                <w:szCs w:val="21"/>
              </w:rPr>
              <w:t xml:space="preserve">Product roadmap and planned features</w:t>
            </w:r>
          </w:p>
          <w:p>
            <w:pPr>
              <w:spacing w:after="60"/>
            </w:pPr>
            <w:r>
              <w:rPr>
                <w:rFonts w:ascii="Arial" w:cs="Arial" w:eastAsia="Arial" w:hAnsi="Arial"/>
                <w:sz w:val="21"/>
                <w:szCs w:val="21"/>
              </w:rPr>
              <w:t xml:space="preserve">Technical architecture and AI model details</w:t>
            </w:r>
          </w:p>
          <w:p>
            <w:pPr>
              <w:spacing w:after="60"/>
            </w:pPr>
            <w:r>
              <w:rPr>
                <w:rFonts w:ascii="Arial" w:cs="Arial" w:eastAsia="Arial" w:hAnsi="Arial"/>
                <w:sz w:val="21"/>
                <w:szCs w:val="21"/>
              </w:rPr>
              <w:t xml:space="preserve">Pricing strategy and commercial terms</w:t>
            </w:r>
          </w:p>
          <w:p>
            <w:pPr>
              <w:spacing w:after="60"/>
            </w:pPr>
            <w:r>
              <w:rPr>
                <w:rFonts w:ascii="Arial" w:cs="Arial" w:eastAsia="Arial" w:hAnsi="Arial"/>
                <w:sz w:val="21"/>
                <w:szCs w:val="21"/>
              </w:rPr>
              <w:t xml:space="preserve">Business strategy and customer pipeline</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Partner Confidential Info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1"/>
                <w:szCs w:val="21"/>
              </w:rPr>
              <w:t xml:space="preserve">Production data, job volumes, and scheduling details</w:t>
            </w:r>
          </w:p>
          <w:p>
            <w:pPr>
              <w:spacing w:after="60"/>
            </w:pPr>
            <w:r>
              <w:rPr>
                <w:rFonts w:ascii="Arial" w:cs="Arial" w:eastAsia="Arial" w:hAnsi="Arial"/>
                <w:sz w:val="21"/>
                <w:szCs w:val="21"/>
              </w:rPr>
              <w:t xml:space="preserve">Customer information and delivery commitments</w:t>
            </w:r>
          </w:p>
          <w:p>
            <w:pPr>
              <w:spacing w:after="60"/>
            </w:pPr>
            <w:r>
              <w:rPr>
                <w:rFonts w:ascii="Arial" w:cs="Arial" w:eastAsia="Arial" w:hAnsi="Arial"/>
                <w:sz w:val="21"/>
                <w:szCs w:val="21"/>
              </w:rPr>
              <w:t xml:space="preserve">Operational processes and competitive information</w:t>
            </w:r>
          </w:p>
          <w:p>
            <w:pPr>
              <w:spacing w:after="60"/>
            </w:pPr>
            <w:r>
              <w:rPr>
                <w:rFonts w:ascii="Arial" w:cs="Arial" w:eastAsia="Arial" w:hAnsi="Arial"/>
                <w:sz w:val="21"/>
                <w:szCs w:val="21"/>
              </w:rPr>
              <w:t xml:space="preserve">Financial details shared during the partnership</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Term</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pPr>
            <w:r>
              <w:rPr>
                <w:rFonts w:ascii="Arial" w:cs="Arial" w:eastAsia="Arial" w:hAnsi="Arial"/>
                <w:sz w:val="21"/>
                <w:szCs w:val="21"/>
              </w:rPr>
              <w:t xml:space="preserve">NDA remains in effect for 2 years following the end of the partnership, regardless of how the partnership concludes.</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Exceptions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1"/>
                <w:szCs w:val="21"/>
              </w:rPr>
              <w:t xml:space="preserve">Standard carve-outs: publicly available information, independently developed knowledge, information received from third parties without restriction, information required to be disclosed by law.</w:t>
            </w:r>
          </w:p>
        </w:tc>
      </w:tr>
    </w:tbl>
    <w:p>
      <w:pPr>
        <w:pBdr>
          <w:bottom w:val="single" w:color="1B3A5C" w:sz="4" w:space="4"/>
        </w:pBdr>
        <w:spacing w:after="140" w:before="300"/>
      </w:pPr>
      <w:r>
        <w:rPr>
          <w:rFonts w:ascii="Arial" w:cs="Arial" w:eastAsia="Arial" w:hAnsi="Arial"/>
          <w:b/>
          <w:bCs/>
          <w:color w:val="1B3A5C"/>
          <w:sz w:val="26"/>
          <w:szCs w:val="26"/>
        </w:rPr>
        <w:t xml:space="preserve">5. Intellectual Property &amp; Software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60"/>
              <w:left w:type="dxa" w:w="200"/>
              <w:bottom w:type="dxa" w:w="160"/>
              <w:right w:type="dxa" w:w="200"/>
            </w:tcMar>
          </w:tcPr>
          <w:p>
            <w:pPr>
              <w:spacing w:after="0"/>
            </w:pPr>
            <w:r>
              <w:rPr>
                <w:rFonts w:ascii="Arial" w:cs="Arial" w:eastAsia="Arial" w:hAnsi="Arial"/>
                <w:b/>
                <w:bCs/>
                <w:color w:val="1B3A5C"/>
                <w:sz w:val="20"/>
                <w:szCs w:val="20"/>
              </w:rPr>
              <w:t xml:space="preserve">This section must be unambiguous. IP clarity protects both parties.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CTP Software IP</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pPr>
            <w:r>
              <w:rPr>
                <w:rFonts w:ascii="Arial" w:cs="Arial" w:eastAsia="Arial" w:hAnsi="Arial"/>
                <w:sz w:val="21"/>
                <w:szCs w:val="21"/>
              </w:rPr>
              <w:t xml:space="preserve">All CTP software, algorithms, AI models, scheduling engines, user interfaces, and related technology are and remain the sole intellectual property of CTP. No rights, licenses, or ownership interests in CTP’s IP are transferred to the partner through this arrangement.</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Product Feedback &amp; Ideas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1"/>
                <w:szCs w:val="21"/>
              </w:rPr>
              <w:t xml:space="preserve">Any feature requests, workflow suggestions, improvement ideas, or product feedback provided by the partner become the property of CTP. The partner’s input shapes the product but does not create co-ownership or royalty obligations.</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Partner’s Data</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pPr>
            <w:r>
              <w:rPr>
                <w:rFonts w:ascii="Arial" w:cs="Arial" w:eastAsia="Arial" w:hAnsi="Arial"/>
                <w:sz w:val="21"/>
                <w:szCs w:val="21"/>
              </w:rPr>
              <w:t xml:space="preserve">All production data, job data, scheduling data, and business information uploaded to CTP remains the sole property of the partner. CTP does not own, sell, or share partner-specific data with third parties.</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Anonymized Data Usage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1"/>
                <w:szCs w:val="21"/>
              </w:rPr>
              <w:t xml:space="preserve">CTP may use anonymized, aggregated, and de-identified data for the purpose of improving AI models, benchmarking, and product development. No individual partner data will be identifiable in any aggregated dataset.</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No Reverse Engineering</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pPr>
            <w:r>
              <w:rPr>
                <w:rFonts w:ascii="Arial" w:cs="Arial" w:eastAsia="Arial" w:hAnsi="Arial"/>
                <w:sz w:val="21"/>
                <w:szCs w:val="21"/>
              </w:rPr>
              <w:t xml:space="preserve">Partner agrees not to reverse engineer, decompile, or attempt to extract CTP’s source code, algorithms, or AI models.</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License Grant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1"/>
                <w:szCs w:val="21"/>
              </w:rPr>
              <w:t xml:space="preserve">CTP grants the partner a non-exclusive, non-transferable, revocable license to use the CTP platform for the partner’s internal business operations during the term of the agreement.</w:t>
            </w:r>
          </w:p>
        </w:tc>
      </w:tr>
    </w:tbl>
    <w:p>
      <w:pPr>
        <w:pBdr>
          <w:bottom w:val="single" w:color="1B3A5C" w:sz="4" w:space="4"/>
        </w:pBdr>
        <w:spacing w:after="140" w:before="300"/>
      </w:pPr>
      <w:r>
        <w:rPr>
          <w:rFonts w:ascii="Arial" w:cs="Arial" w:eastAsia="Arial" w:hAnsi="Arial"/>
          <w:b/>
          <w:bCs/>
          <w:color w:val="1B3A5C"/>
          <w:sz w:val="26"/>
          <w:szCs w:val="26"/>
        </w:rPr>
        <w:t xml:space="preserve">6. Data Security &amp;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Data Storage</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pPr>
            <w:r>
              <w:rPr>
                <w:rFonts w:ascii="Arial" w:cs="Arial" w:eastAsia="Arial" w:hAnsi="Arial"/>
                <w:sz w:val="21"/>
                <w:szCs w:val="21"/>
              </w:rPr>
              <w:t xml:space="preserve">Partner data is stored in [cloud provider / region — to be specified]. Data is encrypted at rest and in transit.</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Access Controls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1"/>
                <w:szCs w:val="21"/>
              </w:rPr>
              <w:t xml:space="preserve">Only authorized CTP personnel have access to partner data. Access is logged and auditable.</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Data Retention</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pPr>
            <w:r>
              <w:rPr>
                <w:rFonts w:ascii="Arial" w:cs="Arial" w:eastAsia="Arial" w:hAnsi="Arial"/>
                <w:sz w:val="21"/>
                <w:szCs w:val="21"/>
              </w:rPr>
              <w:t xml:space="preserve">Partner data is retained for the duration of the agreement plus 30 days for orderly wind-down.</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Data Export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1"/>
                <w:szCs w:val="21"/>
              </w:rPr>
              <w:t xml:space="preserve">Partner may request a full export of their data at any time in a standard format (CSV/JSON).</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Data Deletion</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pPr>
            <w:r>
              <w:rPr>
                <w:rFonts w:ascii="Arial" w:cs="Arial" w:eastAsia="Arial" w:hAnsi="Arial"/>
                <w:sz w:val="21"/>
                <w:szCs w:val="21"/>
              </w:rPr>
              <w:t xml:space="preserve">Upon termination, all partner-specific data will be permanently deleted within 30 days of written request. CTP will provide written confirmation of deletion.</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Breach Notification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1"/>
                <w:szCs w:val="21"/>
              </w:rPr>
              <w:t xml:space="preserve">In the event of a data security incident, CTP will notify the partner within 72 hours of discovery.</w:t>
            </w:r>
          </w:p>
        </w:tc>
      </w:tr>
    </w:tbl>
    <w:p>
      <w:r>
        <w:br w:type="page"/>
      </w:r>
    </w:p>
    <w:p>
      <w:pPr>
        <w:pBdr>
          <w:bottom w:val="single" w:color="1B3A5C" w:sz="4" w:space="4"/>
        </w:pBdr>
        <w:spacing w:after="140" w:before="300"/>
      </w:pPr>
      <w:r>
        <w:rPr>
          <w:rFonts w:ascii="Arial" w:cs="Arial" w:eastAsia="Arial" w:hAnsi="Arial"/>
          <w:b/>
          <w:bCs/>
          <w:color w:val="1B3A5C"/>
          <w:sz w:val="26"/>
          <w:szCs w:val="26"/>
        </w:rPr>
        <w:t xml:space="preserve">7. Partner Commitments</w:t>
      </w:r>
    </w:p>
    <w:p>
      <w:pPr>
        <w:spacing w:after="120" w:before="0"/>
      </w:pPr>
      <w:r>
        <w:rPr>
          <w:rFonts w:ascii="Arial" w:cs="Arial" w:eastAsia="Arial" w:hAnsi="Arial"/>
          <w:sz w:val="22"/>
          <w:szCs w:val="22"/>
        </w:rPr>
        <w:t xml:space="preserve">The value of this partnership depends on active participation. The partner agrees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Active Usage</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pPr>
            <w:r>
              <w:rPr>
                <w:rFonts w:ascii="Arial" w:cs="Arial" w:eastAsia="Arial" w:hAnsi="Arial"/>
                <w:sz w:val="21"/>
                <w:szCs w:val="21"/>
              </w:rPr>
              <w:t xml:space="preserve">Commit meaningful task volume to the platform (target: [___] active jobs/tasks within 30 days of onboarding). Use the platform as a genuine scheduling tool, not a casual experiment.</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Regular Feedback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1"/>
                <w:szCs w:val="21"/>
              </w:rPr>
              <w:t xml:space="preserve">Participate in biweekly check-in calls (30–45 minutes). Provide candid feedback on what’s working, what’s broken, and what’s missing.</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Scenario Testing</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pPr>
            <w:r>
              <w:rPr>
                <w:rFonts w:ascii="Arial" w:cs="Arial" w:eastAsia="Arial" w:hAnsi="Arial"/>
                <w:sz w:val="21"/>
                <w:szCs w:val="21"/>
              </w:rPr>
              <w:t xml:space="preserve">Actively test what-if scenarios and query capabilities using real production situations. Report edge cases and unexpected results.</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Reasonable Availability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1"/>
                <w:szCs w:val="21"/>
              </w:rPr>
              <w:t xml:space="preserve">Make key personnel (scheduler, operations manager) available for onboarding, training, and periodic product review sessions.</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Warm Introductions</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pPr>
            <w:r>
              <w:rPr>
                <w:rFonts w:ascii="Arial" w:cs="Arial" w:eastAsia="Arial" w:hAnsi="Arial"/>
                <w:sz w:val="21"/>
                <w:szCs w:val="21"/>
              </w:rPr>
              <w:t xml:space="preserve">As the product matures and proves its value, provide warm introductions to other manufacturers in their network who face similar scheduling challenges. This is a request, not a contractual obligation.</w:t>
            </w:r>
          </w:p>
        </w:tc>
      </w:tr>
    </w:tbl>
    <w:p>
      <w:pPr>
        <w:pBdr>
          <w:bottom w:val="single" w:color="1B3A5C" w:sz="4" w:space="4"/>
        </w:pBdr>
        <w:spacing w:after="140" w:before="300"/>
      </w:pPr>
      <w:r>
        <w:rPr>
          <w:rFonts w:ascii="Arial" w:cs="Arial" w:eastAsia="Arial" w:hAnsi="Arial"/>
          <w:b/>
          <w:bCs/>
          <w:color w:val="1B3A5C"/>
          <w:sz w:val="26"/>
          <w:szCs w:val="26"/>
        </w:rPr>
        <w:t xml:space="preserve">8. CTP Commitments</w:t>
      </w:r>
    </w:p>
    <w:p>
      <w:pPr>
        <w:spacing w:after="120" w:before="0"/>
      </w:pPr>
      <w:r>
        <w:rPr>
          <w:rFonts w:ascii="Arial" w:cs="Arial" w:eastAsia="Arial" w:hAnsi="Arial"/>
          <w:sz w:val="22"/>
          <w:szCs w:val="22"/>
        </w:rPr>
        <w:t xml:space="preserve">CTP commits to treating beta partners as true collaborators: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Priority Support</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pPr>
            <w:r>
              <w:rPr>
                <w:rFonts w:ascii="Arial" w:cs="Arial" w:eastAsia="Arial" w:hAnsi="Arial"/>
                <w:sz w:val="21"/>
                <w:szCs w:val="21"/>
              </w:rPr>
              <w:t xml:space="preserve">Direct access to the CTP team via [email / Slack / dedicated channel]. Response within [4–8 business hours] during business days.</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Roadmap Input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1"/>
                <w:szCs w:val="21"/>
              </w:rPr>
              <w:t xml:space="preserve">Partner feedback is directly incorporated into the product roadmap. Major feature decisions will be discussed with beta partners before implementation.</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Transparency</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pPr>
            <w:r>
              <w:rPr>
                <w:rFonts w:ascii="Arial" w:cs="Arial" w:eastAsia="Arial" w:hAnsi="Arial"/>
                <w:sz w:val="21"/>
                <w:szCs w:val="21"/>
              </w:rPr>
              <w:t xml:space="preserve">Honest communication about product status, known limitations, and development timelines. No over-promising.</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Onboarding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1"/>
                <w:szCs w:val="21"/>
              </w:rPr>
              <w:t xml:space="preserve">Hands-on onboarding within [___] days of agreement. CTP team helps configure the platform for the partner’s specific environment.</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Uptime Target</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pPr>
            <w:r>
              <w:rPr>
                <w:rFonts w:ascii="Arial" w:cs="Arial" w:eastAsia="Arial" w:hAnsi="Arial"/>
                <w:sz w:val="21"/>
                <w:szCs w:val="21"/>
              </w:rPr>
              <w:t xml:space="preserve">Best-effort availability during beta. This is not a production SLA — outages may occur during development. CTP will communicate planned maintenance in advance and resolve unplanned issues as quickly as possible.</w:t>
            </w:r>
          </w:p>
        </w:tc>
      </w:tr>
    </w:tbl>
    <w:p>
      <w:pPr>
        <w:pBdr>
          <w:bottom w:val="single" w:color="1B3A5C" w:sz="4" w:space="4"/>
        </w:pBdr>
        <w:spacing w:after="140" w:before="300"/>
      </w:pPr>
      <w:r>
        <w:rPr>
          <w:rFonts w:ascii="Arial" w:cs="Arial" w:eastAsia="Arial" w:hAnsi="Arial"/>
          <w:b/>
          <w:bCs/>
          <w:color w:val="1B3A5C"/>
          <w:sz w:val="26"/>
          <w:szCs w:val="26"/>
        </w:rPr>
        <w:t xml:space="preserve">9. Case Study &amp; Testimonial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Permission Required</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pPr>
            <w:r>
              <w:rPr>
                <w:rFonts w:ascii="Arial" w:cs="Arial" w:eastAsia="Arial" w:hAnsi="Arial"/>
                <w:sz w:val="21"/>
                <w:szCs w:val="21"/>
              </w:rPr>
              <w:t xml:space="preserve">CTP will not publicly name or reference the partner without explicit written permission.</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Anonymized Reference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1"/>
                <w:szCs w:val="21"/>
              </w:rPr>
              <w:t xml:space="preserve">CTP may reference the partnership in anonymized form (e.g., “a mid-market industrial machinery manufacturer in the Asia-Pacific region”) for marketing and investor materials.</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Named Case Study</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pPr>
            <w:r>
              <w:rPr>
                <w:rFonts w:ascii="Arial" w:cs="Arial" w:eastAsia="Arial" w:hAnsi="Arial"/>
                <w:sz w:val="21"/>
                <w:szCs w:val="21"/>
              </w:rPr>
              <w:t xml:space="preserve">With partner’s written approval, CTP may produce a co-branded case study highlighting the partnership and results achieved. Partner has right of review and approval before publication.</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Testimonial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1"/>
                <w:szCs w:val="21"/>
              </w:rPr>
              <w:t xml:space="preserve">Any quotes or testimonials attributed to the partner or its employees require explicit written approval.</w:t>
            </w:r>
          </w:p>
        </w:tc>
      </w:tr>
    </w:tbl>
    <w:p>
      <w:pPr>
        <w:pBdr>
          <w:bottom w:val="single" w:color="1B3A5C" w:sz="4" w:space="4"/>
        </w:pBdr>
        <w:spacing w:after="140" w:before="300"/>
      </w:pPr>
      <w:r>
        <w:rPr>
          <w:rFonts w:ascii="Arial" w:cs="Arial" w:eastAsia="Arial" w:hAnsi="Arial"/>
          <w:b/>
          <w:bCs/>
          <w:color w:val="1B3A5C"/>
          <w:sz w:val="26"/>
          <w:szCs w:val="26"/>
        </w:rPr>
        <w:t xml:space="preserve">10. Termination &amp; Wind-Down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Notice Period</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pPr>
            <w:r>
              <w:rPr>
                <w:rFonts w:ascii="Arial" w:cs="Arial" w:eastAsia="Arial" w:hAnsi="Arial"/>
                <w:sz w:val="21"/>
                <w:szCs w:val="21"/>
              </w:rPr>
              <w:t xml:space="preserve">Either party may terminate with 30 days written notice.</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Wind-Down Process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1"/>
                <w:szCs w:val="21"/>
              </w:rPr>
              <w:t xml:space="preserve">Partner receives full data export within 14 days of termination notice. CTP deletes all partner-specific data within 30 days of termination effective date.</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Outstanding Payments</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pPr>
            <w:r>
              <w:rPr>
                <w:rFonts w:ascii="Arial" w:cs="Arial" w:eastAsia="Arial" w:hAnsi="Arial"/>
                <w:sz w:val="21"/>
                <w:szCs w:val="21"/>
              </w:rPr>
              <w:t xml:space="preserve">Any amounts due for service through the termination effective date remain payable.</w:t>
            </w:r>
          </w:p>
        </w:tc>
      </w:tr>
      <w:tr>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B3A5C"/>
                <w:sz w:val="21"/>
                <w:szCs w:val="21"/>
              </w:rPr>
              <w:t xml:space="preserve">Surviving Terms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1"/>
                <w:szCs w:val="21"/>
              </w:rPr>
              <w:t xml:space="preserve">NDA, IP ownership, and data deletion obligations survive termination.</w:t>
            </w:r>
          </w:p>
        </w:tc>
      </w:tr>
    </w:tbl>
    <w:p>
      <w:pPr>
        <w:pBdr>
          <w:bottom w:val="single" w:color="1B3A5C" w:sz="4" w:space="4"/>
        </w:pBdr>
        <w:spacing w:after="200" w:before="400"/>
      </w:pPr>
      <w:r>
        <w:rPr>
          <w:rFonts w:ascii="Arial" w:cs="Arial" w:eastAsia="Arial" w:hAnsi="Arial"/>
          <w:b/>
          <w:bCs/>
          <w:color w:val="1B3A5C"/>
          <w:sz w:val="26"/>
          <w:szCs w:val="26"/>
        </w:rPr>
        <w:t xml:space="preserve">Agreement in Principle</w:t>
      </w:r>
    </w:p>
    <w:p>
      <w:pPr>
        <w:spacing w:after="120" w:before="0"/>
      </w:pPr>
      <w:r>
        <w:rPr>
          <w:rFonts w:ascii="Arial" w:cs="Arial" w:eastAsia="Arial" w:hAnsi="Arial"/>
          <w:sz w:val="22"/>
          <w:szCs w:val="22"/>
        </w:rPr>
        <w:t xml:space="preserve">This terms sheet represents a mutual understanding of the beta partnership framework. A formal agreement incorporating these terms will be prepared for execution by both parties.</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tcMar>
              <w:top w:type="dxa" w:w="40"/>
              <w:left w:type="dxa" w:w="0"/>
              <w:bottom w:type="dxa" w:w="40"/>
              <w:right w:type="dxa" w:w="200"/>
            </w:tcMar>
          </w:tcPr>
          <w:p>
            <w:pPr>
              <w:spacing w:after="60"/>
            </w:pPr>
            <w:r>
              <w:rPr>
                <w:rFonts w:ascii="Arial" w:cs="Arial" w:eastAsia="Arial" w:hAnsi="Arial"/>
                <w:b/>
                <w:bCs/>
                <w:color w:val="1B3A5C"/>
                <w:sz w:val="21"/>
                <w:szCs w:val="21"/>
              </w:rPr>
              <w:t xml:space="preserve">CTP Platform</w:t>
            </w:r>
          </w:p>
        </w:tc>
        <w:tc>
          <w:tcPr>
            <w:tcW w:type="dxa" w:w="4680"/>
            <w:tcBorders>
              <w:top w:val="none" w:sz="0"/>
              <w:left w:val="none" w:sz="0"/>
              <w:bottom w:val="none" w:sz="0"/>
              <w:right w:val="none" w:sz="0"/>
            </w:tcBorders>
            <w:tcMar>
              <w:top w:type="dxa" w:w="40"/>
              <w:left w:type="dxa" w:w="0"/>
              <w:bottom w:type="dxa" w:w="40"/>
              <w:right w:type="dxa" w:w="200"/>
            </w:tcMar>
          </w:tcPr>
          <w:p>
            <w:pPr>
              <w:spacing w:after="60"/>
            </w:pPr>
            <w:r>
              <w:rPr>
                <w:rFonts w:ascii="Arial" w:cs="Arial" w:eastAsia="Arial" w:hAnsi="Arial"/>
                <w:b/>
                <w:bCs/>
                <w:color w:val="1B3A5C"/>
                <w:sz w:val="21"/>
                <w:szCs w:val="21"/>
              </w:rPr>
              <w:t xml:space="preserve">Partner Company</w:t>
            </w:r>
          </w:p>
        </w:tc>
      </w:tr>
      <w:tr>
        <w:tc>
          <w:tcPr>
            <w:tcW w:type="dxa" w:w="4680"/>
            <w:tcBorders>
              <w:top w:val="none" w:sz="0"/>
              <w:left w:val="none" w:sz="0"/>
              <w:bottom w:val="none" w:sz="0"/>
              <w:right w:val="none" w:sz="0"/>
            </w:tcBorders>
            <w:tcMar>
              <w:top w:type="dxa" w:w="40"/>
              <w:left w:type="dxa" w:w="0"/>
              <w:bottom w:type="dxa" w:w="40"/>
              <w:right w:type="dxa" w:w="200"/>
            </w:tcMar>
          </w:tcPr>
          <w:p>
            <w:pPr>
              <w:spacing w:after="60"/>
            </w:pPr>
            <w:r>
              <w:rPr>
                <w:rFonts w:ascii="Arial" w:cs="Arial" w:eastAsia="Arial" w:hAnsi="Arial"/>
                <w:sz w:val="21"/>
                <w:szCs w:val="21"/>
              </w:rPr>
              <w:t xml:space="preserve"/>
            </w:r>
          </w:p>
          <w:p>
            <w:pPr>
              <w:spacing w:after="60"/>
            </w:pPr>
            <w:r>
              <w:rPr>
                <w:rFonts w:ascii="Arial" w:cs="Arial" w:eastAsia="Arial" w:hAnsi="Arial"/>
                <w:color w:val="999999"/>
                <w:sz w:val="21"/>
                <w:szCs w:val="21"/>
              </w:rPr>
              <w:t xml:space="preserve">________________________________</w:t>
            </w:r>
          </w:p>
          <w:p>
            <w:pPr>
              <w:spacing w:after="60"/>
            </w:pPr>
            <w:r>
              <w:rPr>
                <w:rFonts w:ascii="Arial" w:cs="Arial" w:eastAsia="Arial" w:hAnsi="Arial"/>
                <w:sz w:val="21"/>
                <w:szCs w:val="21"/>
              </w:rPr>
              <w:t xml:space="preserve">Signature</w:t>
            </w:r>
          </w:p>
          <w:p>
            <w:pPr>
              <w:spacing w:after="60"/>
            </w:pPr>
            <w:r>
              <w:rPr>
                <w:rFonts w:ascii="Arial" w:cs="Arial" w:eastAsia="Arial" w:hAnsi="Arial"/>
                <w:sz w:val="21"/>
                <w:szCs w:val="21"/>
              </w:rPr>
              <w:t xml:space="preserve"/>
            </w:r>
          </w:p>
          <w:p>
            <w:pPr>
              <w:spacing w:after="60"/>
            </w:pPr>
            <w:r>
              <w:rPr>
                <w:rFonts w:ascii="Arial" w:cs="Arial" w:eastAsia="Arial" w:hAnsi="Arial"/>
                <w:color w:val="999999"/>
                <w:sz w:val="21"/>
                <w:szCs w:val="21"/>
              </w:rPr>
              <w:t xml:space="preserve">________________________________</w:t>
            </w:r>
          </w:p>
          <w:p>
            <w:pPr>
              <w:spacing w:after="60"/>
            </w:pPr>
            <w:r>
              <w:rPr>
                <w:rFonts w:ascii="Arial" w:cs="Arial" w:eastAsia="Arial" w:hAnsi="Arial"/>
                <w:sz w:val="21"/>
                <w:szCs w:val="21"/>
              </w:rPr>
              <w:t xml:space="preserve">Name &amp; Title</w:t>
            </w:r>
          </w:p>
          <w:p>
            <w:pPr>
              <w:spacing w:after="60"/>
            </w:pPr>
            <w:r>
              <w:rPr>
                <w:rFonts w:ascii="Arial" w:cs="Arial" w:eastAsia="Arial" w:hAnsi="Arial"/>
                <w:sz w:val="21"/>
                <w:szCs w:val="21"/>
              </w:rPr>
              <w:t xml:space="preserve"/>
            </w:r>
          </w:p>
          <w:p>
            <w:pPr>
              <w:spacing w:after="60"/>
            </w:pPr>
            <w:r>
              <w:rPr>
                <w:rFonts w:ascii="Arial" w:cs="Arial" w:eastAsia="Arial" w:hAnsi="Arial"/>
                <w:color w:val="999999"/>
                <w:sz w:val="21"/>
                <w:szCs w:val="21"/>
              </w:rPr>
              <w:t xml:space="preserve">________________________________</w:t>
            </w:r>
          </w:p>
          <w:p>
            <w:pPr>
              <w:spacing w:after="60"/>
            </w:pPr>
            <w:r>
              <w:rPr>
                <w:rFonts w:ascii="Arial" w:cs="Arial" w:eastAsia="Arial" w:hAnsi="Arial"/>
                <w:sz w:val="21"/>
                <w:szCs w:val="21"/>
              </w:rPr>
              <w:t xml:space="preserve">Date</w:t>
            </w:r>
          </w:p>
        </w:tc>
        <w:tc>
          <w:tcPr>
            <w:tcW w:type="dxa" w:w="4680"/>
            <w:tcBorders>
              <w:top w:val="none" w:sz="0"/>
              <w:left w:val="none" w:sz="0"/>
              <w:bottom w:val="none" w:sz="0"/>
              <w:right w:val="none" w:sz="0"/>
            </w:tcBorders>
            <w:tcMar>
              <w:top w:type="dxa" w:w="40"/>
              <w:left w:type="dxa" w:w="0"/>
              <w:bottom w:type="dxa" w:w="40"/>
              <w:right w:type="dxa" w:w="200"/>
            </w:tcMar>
          </w:tcPr>
          <w:p>
            <w:pPr>
              <w:spacing w:after="60"/>
            </w:pPr>
            <w:r>
              <w:rPr>
                <w:rFonts w:ascii="Arial" w:cs="Arial" w:eastAsia="Arial" w:hAnsi="Arial"/>
                <w:sz w:val="21"/>
                <w:szCs w:val="21"/>
              </w:rPr>
              <w:t xml:space="preserve"/>
            </w:r>
          </w:p>
          <w:p>
            <w:pPr>
              <w:spacing w:after="60"/>
            </w:pPr>
            <w:r>
              <w:rPr>
                <w:rFonts w:ascii="Arial" w:cs="Arial" w:eastAsia="Arial" w:hAnsi="Arial"/>
                <w:color w:val="999999"/>
                <w:sz w:val="21"/>
                <w:szCs w:val="21"/>
              </w:rPr>
              <w:t xml:space="preserve">________________________________</w:t>
            </w:r>
          </w:p>
          <w:p>
            <w:pPr>
              <w:spacing w:after="60"/>
            </w:pPr>
            <w:r>
              <w:rPr>
                <w:rFonts w:ascii="Arial" w:cs="Arial" w:eastAsia="Arial" w:hAnsi="Arial"/>
                <w:sz w:val="21"/>
                <w:szCs w:val="21"/>
              </w:rPr>
              <w:t xml:space="preserve">Signature</w:t>
            </w:r>
          </w:p>
          <w:p>
            <w:pPr>
              <w:spacing w:after="60"/>
            </w:pPr>
            <w:r>
              <w:rPr>
                <w:rFonts w:ascii="Arial" w:cs="Arial" w:eastAsia="Arial" w:hAnsi="Arial"/>
                <w:sz w:val="21"/>
                <w:szCs w:val="21"/>
              </w:rPr>
              <w:t xml:space="preserve"/>
            </w:r>
          </w:p>
          <w:p>
            <w:pPr>
              <w:spacing w:after="60"/>
            </w:pPr>
            <w:r>
              <w:rPr>
                <w:rFonts w:ascii="Arial" w:cs="Arial" w:eastAsia="Arial" w:hAnsi="Arial"/>
                <w:color w:val="999999"/>
                <w:sz w:val="21"/>
                <w:szCs w:val="21"/>
              </w:rPr>
              <w:t xml:space="preserve">________________________________</w:t>
            </w:r>
          </w:p>
          <w:p>
            <w:pPr>
              <w:spacing w:after="60"/>
            </w:pPr>
            <w:r>
              <w:rPr>
                <w:rFonts w:ascii="Arial" w:cs="Arial" w:eastAsia="Arial" w:hAnsi="Arial"/>
                <w:sz w:val="21"/>
                <w:szCs w:val="21"/>
              </w:rPr>
              <w:t xml:space="preserve">Name &amp; Title</w:t>
            </w:r>
          </w:p>
          <w:p>
            <w:pPr>
              <w:spacing w:after="60"/>
            </w:pPr>
            <w:r>
              <w:rPr>
                <w:rFonts w:ascii="Arial" w:cs="Arial" w:eastAsia="Arial" w:hAnsi="Arial"/>
                <w:sz w:val="21"/>
                <w:szCs w:val="21"/>
              </w:rPr>
              <w:t xml:space="preserve"/>
            </w:r>
          </w:p>
          <w:p>
            <w:pPr>
              <w:spacing w:after="60"/>
            </w:pPr>
            <w:r>
              <w:rPr>
                <w:rFonts w:ascii="Arial" w:cs="Arial" w:eastAsia="Arial" w:hAnsi="Arial"/>
                <w:color w:val="999999"/>
                <w:sz w:val="21"/>
                <w:szCs w:val="21"/>
              </w:rPr>
              <w:t xml:space="preserve">________________________________</w:t>
            </w:r>
          </w:p>
          <w:p>
            <w:pPr>
              <w:spacing w:after="60"/>
            </w:pPr>
            <w:r>
              <w:rPr>
                <w:rFonts w:ascii="Arial" w:cs="Arial" w:eastAsia="Arial" w:hAnsi="Arial"/>
                <w:sz w:val="21"/>
                <w:szCs w:val="21"/>
              </w:rPr>
              <w:t xml:space="preserve">Date</w:t>
            </w:r>
          </w:p>
        </w:tc>
      </w:tr>
    </w:tbl>
    <w:p>
      <w:pPr>
        <w:spacing w:after="0" w:before="300"/>
      </w:pPr>
      <w:r>
        <w:rPr>
          <w:rFonts w:ascii="Arial" w:cs="Arial" w:eastAsia="Arial" w:hAnsi="Arial"/>
          <w:i/>
          <w:iCs/>
          <w:color w:val="999999"/>
          <w:sz w:val="18"/>
          <w:szCs w:val="18"/>
        </w:rPr>
        <w:t xml:space="preserve">This document is a discussion framework prepared for internal use and partnership negotiation. It is not a binding legal agreement. Both parties should seek independent legal counsel before executing a formal agreement.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2026-03-24T22:17:35.095Z</dcterms:created>
  <dcterms:modified xsi:type="dcterms:W3CDTF">2026-03-24T22:17:35.097Z</dcterms:modified>
</cp:coreProperties>
</file>

<file path=docProps/custom.xml><?xml version="1.0" encoding="utf-8"?>
<Properties xmlns="http://schemas.openxmlformats.org/officeDocument/2006/custom-properties" xmlns:vt="http://schemas.openxmlformats.org/officeDocument/2006/docPropsVTypes"/>
</file>