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DF20" w14:textId="77777777" w:rsidR="0059460B" w:rsidRPr="001F41F7" w:rsidRDefault="0059460B" w:rsidP="00D50967">
      <w:pPr>
        <w:jc w:val="both"/>
        <w:rPr>
          <w:b/>
          <w:bCs/>
        </w:rPr>
      </w:pPr>
      <w:bookmarkStart w:id="0" w:name="_Hlk78272845"/>
      <w:bookmarkEnd w:id="0"/>
      <w:r w:rsidRPr="001F41F7">
        <w:rPr>
          <w:b/>
          <w:bCs/>
        </w:rPr>
        <w:t>Impurity behavior in flow-through ion-exchange chromatography</w:t>
      </w:r>
    </w:p>
    <w:p w14:paraId="0F705F3F" w14:textId="77777777" w:rsidR="00404525" w:rsidRPr="001F41F7" w:rsidRDefault="00404525" w:rsidP="00D50967">
      <w:pPr>
        <w:jc w:val="both"/>
        <w:rPr>
          <w:sz w:val="20"/>
          <w:szCs w:val="20"/>
        </w:rPr>
      </w:pPr>
      <w:r w:rsidRPr="001F41F7">
        <w:rPr>
          <w:sz w:val="20"/>
          <w:szCs w:val="20"/>
        </w:rPr>
        <w:t>Chase Herman</w:t>
      </w:r>
      <w:r w:rsidRPr="001F41F7">
        <w:rPr>
          <w:sz w:val="20"/>
          <w:szCs w:val="20"/>
          <w:vertAlign w:val="superscript"/>
        </w:rPr>
        <w:t>1</w:t>
      </w:r>
      <w:r w:rsidRPr="001F41F7">
        <w:rPr>
          <w:sz w:val="20"/>
          <w:szCs w:val="20"/>
        </w:rPr>
        <w:t xml:space="preserve">, </w:t>
      </w:r>
      <w:proofErr w:type="spellStart"/>
      <w:r w:rsidRPr="001F41F7">
        <w:rPr>
          <w:sz w:val="20"/>
          <w:szCs w:val="20"/>
        </w:rPr>
        <w:t>Xuankuo</w:t>
      </w:r>
      <w:proofErr w:type="spellEnd"/>
      <w:r w:rsidRPr="001F41F7">
        <w:rPr>
          <w:sz w:val="20"/>
          <w:szCs w:val="20"/>
        </w:rPr>
        <w:t xml:space="preserve"> Xu</w:t>
      </w:r>
      <w:r w:rsidRPr="001F41F7">
        <w:rPr>
          <w:sz w:val="20"/>
          <w:szCs w:val="20"/>
          <w:vertAlign w:val="superscript"/>
        </w:rPr>
        <w:t>2</w:t>
      </w:r>
      <w:r w:rsidRPr="001F41F7">
        <w:rPr>
          <w:sz w:val="20"/>
          <w:szCs w:val="20"/>
        </w:rPr>
        <w:t>, Steven Traylor</w:t>
      </w:r>
      <w:r w:rsidRPr="001F41F7">
        <w:rPr>
          <w:sz w:val="20"/>
          <w:szCs w:val="20"/>
          <w:vertAlign w:val="superscript"/>
        </w:rPr>
        <w:t>2</w:t>
      </w:r>
      <w:r w:rsidRPr="001F41F7">
        <w:rPr>
          <w:sz w:val="20"/>
          <w:szCs w:val="20"/>
        </w:rPr>
        <w:t xml:space="preserve">, </w:t>
      </w:r>
      <w:proofErr w:type="spellStart"/>
      <w:r w:rsidRPr="001F41F7">
        <w:rPr>
          <w:sz w:val="20"/>
          <w:szCs w:val="20"/>
        </w:rPr>
        <w:t>Sanchayita</w:t>
      </w:r>
      <w:proofErr w:type="spellEnd"/>
      <w:r w:rsidRPr="001F41F7">
        <w:rPr>
          <w:sz w:val="20"/>
          <w:szCs w:val="20"/>
        </w:rPr>
        <w:t xml:space="preserve"> Ghose</w:t>
      </w:r>
      <w:r w:rsidRPr="001F41F7">
        <w:rPr>
          <w:sz w:val="20"/>
          <w:szCs w:val="20"/>
          <w:vertAlign w:val="superscript"/>
        </w:rPr>
        <w:t>2</w:t>
      </w:r>
      <w:r w:rsidRPr="001F41F7">
        <w:rPr>
          <w:sz w:val="20"/>
          <w:szCs w:val="20"/>
        </w:rPr>
        <w:t xml:space="preserve"> and Abraham Lenhoff</w:t>
      </w:r>
      <w:r w:rsidRPr="001F41F7">
        <w:rPr>
          <w:sz w:val="20"/>
          <w:szCs w:val="20"/>
          <w:vertAlign w:val="superscript"/>
        </w:rPr>
        <w:t>1</w:t>
      </w:r>
    </w:p>
    <w:p w14:paraId="33BB76DC" w14:textId="43756334" w:rsidR="00404525" w:rsidRPr="001F41F7" w:rsidRDefault="00404525" w:rsidP="00D50967">
      <w:pPr>
        <w:jc w:val="both"/>
        <w:rPr>
          <w:sz w:val="20"/>
          <w:szCs w:val="20"/>
        </w:rPr>
      </w:pPr>
      <w:r w:rsidRPr="001F41F7">
        <w:rPr>
          <w:sz w:val="20"/>
          <w:szCs w:val="20"/>
        </w:rPr>
        <w:t>[1] Department of Chemical and Biomolecular Engineering, University of Delaware</w:t>
      </w:r>
    </w:p>
    <w:p w14:paraId="39CBB1A3" w14:textId="59741CC9" w:rsidR="00404525" w:rsidRPr="001F41F7" w:rsidRDefault="00404525" w:rsidP="00D50967">
      <w:pPr>
        <w:jc w:val="both"/>
        <w:rPr>
          <w:sz w:val="20"/>
          <w:szCs w:val="20"/>
        </w:rPr>
      </w:pPr>
      <w:r w:rsidRPr="001F41F7">
        <w:rPr>
          <w:sz w:val="20"/>
          <w:szCs w:val="20"/>
        </w:rPr>
        <w:t>[2] Biologics Process Development, Bristol-Myers Squibb, Devens, MA</w:t>
      </w:r>
    </w:p>
    <w:p w14:paraId="4A899DFA" w14:textId="54BA34BB" w:rsidR="00AC06BA" w:rsidRPr="001F41F7" w:rsidRDefault="00AC06BA" w:rsidP="00D50967">
      <w:pPr>
        <w:jc w:val="both"/>
        <w:rPr>
          <w:sz w:val="20"/>
          <w:szCs w:val="20"/>
        </w:rPr>
      </w:pPr>
    </w:p>
    <w:p w14:paraId="3CC57F25" w14:textId="795D6303" w:rsidR="002B7C8E" w:rsidRPr="001F41F7" w:rsidRDefault="002B7C8E" w:rsidP="000C25C2">
      <w:pPr>
        <w:ind w:firstLine="720"/>
        <w:jc w:val="both"/>
        <w:rPr>
          <w:sz w:val="20"/>
          <w:szCs w:val="20"/>
        </w:rPr>
      </w:pPr>
      <w:r w:rsidRPr="001F41F7">
        <w:rPr>
          <w:sz w:val="20"/>
          <w:szCs w:val="20"/>
        </w:rPr>
        <w:t>Flow-through chromatography is naturally suited</w:t>
      </w:r>
      <w:r w:rsidR="00525BB7" w:rsidRPr="001F41F7">
        <w:rPr>
          <w:sz w:val="20"/>
          <w:szCs w:val="20"/>
        </w:rPr>
        <w:t xml:space="preserve"> </w:t>
      </w:r>
      <w:r w:rsidR="009E789E" w:rsidRPr="001F41F7">
        <w:rPr>
          <w:sz w:val="20"/>
          <w:szCs w:val="20"/>
        </w:rPr>
        <w:t xml:space="preserve">for </w:t>
      </w:r>
      <w:r w:rsidR="00D34C1D">
        <w:rPr>
          <w:sz w:val="20"/>
          <w:szCs w:val="20"/>
        </w:rPr>
        <w:t>high-productivity</w:t>
      </w:r>
      <w:r w:rsidR="009E789E" w:rsidRPr="001F41F7">
        <w:rPr>
          <w:sz w:val="20"/>
          <w:szCs w:val="20"/>
        </w:rPr>
        <w:t xml:space="preserve"> </w:t>
      </w:r>
      <w:r w:rsidR="00525BB7" w:rsidRPr="001F41F7">
        <w:rPr>
          <w:sz w:val="20"/>
          <w:szCs w:val="20"/>
        </w:rPr>
        <w:t>operation</w:t>
      </w:r>
      <w:r w:rsidR="00D34C1D">
        <w:rPr>
          <w:sz w:val="20"/>
          <w:szCs w:val="20"/>
        </w:rPr>
        <w:t>s</w:t>
      </w:r>
      <w:r w:rsidRPr="001F41F7">
        <w:rPr>
          <w:sz w:val="20"/>
          <w:szCs w:val="20"/>
        </w:rPr>
        <w:t xml:space="preserve">, but design challenges </w:t>
      </w:r>
      <w:r w:rsidR="00E96581" w:rsidRPr="001F41F7">
        <w:rPr>
          <w:sz w:val="20"/>
          <w:szCs w:val="20"/>
        </w:rPr>
        <w:t>can</w:t>
      </w:r>
      <w:r w:rsidR="00525BB7" w:rsidRPr="001F41F7">
        <w:rPr>
          <w:sz w:val="20"/>
          <w:szCs w:val="20"/>
        </w:rPr>
        <w:t xml:space="preserve"> hinder</w:t>
      </w:r>
      <w:r w:rsidRPr="001F41F7">
        <w:rPr>
          <w:sz w:val="20"/>
          <w:szCs w:val="20"/>
        </w:rPr>
        <w:t xml:space="preserve"> its implementation. Such challenges may be observed in monoclonal antibody </w:t>
      </w:r>
      <w:r w:rsidR="005C32E2" w:rsidRPr="001F41F7">
        <w:rPr>
          <w:sz w:val="20"/>
          <w:szCs w:val="20"/>
        </w:rPr>
        <w:t xml:space="preserve">(mAb) </w:t>
      </w:r>
      <w:r w:rsidR="000C004D" w:rsidRPr="001F41F7">
        <w:rPr>
          <w:sz w:val="20"/>
          <w:szCs w:val="20"/>
        </w:rPr>
        <w:t>processing</w:t>
      </w:r>
      <w:r w:rsidRPr="001F41F7">
        <w:rPr>
          <w:sz w:val="20"/>
          <w:szCs w:val="20"/>
        </w:rPr>
        <w:t xml:space="preserve">, where flow-through ion-exchange (IEX) is </w:t>
      </w:r>
      <w:r w:rsidR="00327321">
        <w:rPr>
          <w:sz w:val="20"/>
          <w:szCs w:val="20"/>
        </w:rPr>
        <w:t>frequently</w:t>
      </w:r>
      <w:r w:rsidRPr="001F41F7">
        <w:rPr>
          <w:sz w:val="20"/>
          <w:szCs w:val="20"/>
        </w:rPr>
        <w:t xml:space="preserve"> used</w:t>
      </w:r>
      <w:r w:rsidR="000C004D" w:rsidRPr="001F41F7">
        <w:rPr>
          <w:sz w:val="20"/>
          <w:szCs w:val="20"/>
        </w:rPr>
        <w:t xml:space="preserve"> as a polishing step</w:t>
      </w:r>
      <w:r w:rsidRPr="001F41F7">
        <w:rPr>
          <w:sz w:val="20"/>
          <w:szCs w:val="20"/>
        </w:rPr>
        <w:t>. An effective flow-through</w:t>
      </w:r>
      <w:r w:rsidR="007664E6" w:rsidRPr="001F41F7">
        <w:rPr>
          <w:sz w:val="20"/>
          <w:szCs w:val="20"/>
        </w:rPr>
        <w:t xml:space="preserve"> polishing</w:t>
      </w:r>
      <w:r w:rsidRPr="001F41F7">
        <w:rPr>
          <w:sz w:val="20"/>
          <w:szCs w:val="20"/>
        </w:rPr>
        <w:t xml:space="preserve"> </w:t>
      </w:r>
      <w:r w:rsidR="00F545FA">
        <w:rPr>
          <w:sz w:val="20"/>
          <w:szCs w:val="20"/>
        </w:rPr>
        <w:t>step</w:t>
      </w:r>
      <w:r w:rsidRPr="001F41F7">
        <w:rPr>
          <w:sz w:val="20"/>
          <w:szCs w:val="20"/>
        </w:rPr>
        <w:t xml:space="preserve"> requires a large number of diverse impurities to bind the resin simultaneously</w:t>
      </w:r>
      <w:r w:rsidR="00171E41">
        <w:rPr>
          <w:sz w:val="20"/>
          <w:szCs w:val="20"/>
        </w:rPr>
        <w:t xml:space="preserve">, many of them </w:t>
      </w:r>
      <w:r w:rsidR="00FE2BBC">
        <w:rPr>
          <w:sz w:val="20"/>
          <w:szCs w:val="20"/>
        </w:rPr>
        <w:t xml:space="preserve">often </w:t>
      </w:r>
      <w:r w:rsidR="00171E41">
        <w:rPr>
          <w:sz w:val="20"/>
          <w:szCs w:val="20"/>
        </w:rPr>
        <w:t xml:space="preserve">being </w:t>
      </w:r>
      <w:r w:rsidRPr="001F41F7">
        <w:rPr>
          <w:sz w:val="20"/>
          <w:szCs w:val="20"/>
        </w:rPr>
        <w:t xml:space="preserve">dilute host cell proteins </w:t>
      </w:r>
      <w:r w:rsidR="00E90117" w:rsidRPr="001F41F7">
        <w:rPr>
          <w:sz w:val="20"/>
          <w:szCs w:val="20"/>
        </w:rPr>
        <w:t xml:space="preserve">(HCPs) </w:t>
      </w:r>
      <w:r w:rsidRPr="001F41F7">
        <w:rPr>
          <w:sz w:val="20"/>
          <w:szCs w:val="20"/>
        </w:rPr>
        <w:t>of unknown identity.</w:t>
      </w:r>
      <w:r w:rsidR="00E90117" w:rsidRPr="001F41F7">
        <w:rPr>
          <w:sz w:val="20"/>
          <w:szCs w:val="20"/>
        </w:rPr>
        <w:t xml:space="preserve"> Weak adsorption or product association may lead to the i</w:t>
      </w:r>
      <w:r w:rsidRPr="001F41F7">
        <w:rPr>
          <w:sz w:val="20"/>
          <w:szCs w:val="20"/>
        </w:rPr>
        <w:t xml:space="preserve">nadequate clearance </w:t>
      </w:r>
      <w:r w:rsidR="00E90117" w:rsidRPr="001F41F7">
        <w:rPr>
          <w:sz w:val="20"/>
          <w:szCs w:val="20"/>
        </w:rPr>
        <w:t xml:space="preserve">of </w:t>
      </w:r>
      <w:r w:rsidR="0020649C">
        <w:rPr>
          <w:sz w:val="20"/>
          <w:szCs w:val="20"/>
        </w:rPr>
        <w:t>some</w:t>
      </w:r>
      <w:r w:rsidR="00E90117" w:rsidRPr="001F41F7">
        <w:rPr>
          <w:sz w:val="20"/>
          <w:szCs w:val="20"/>
        </w:rPr>
        <w:t xml:space="preserve"> HCP</w:t>
      </w:r>
      <w:r w:rsidR="00D34C1D">
        <w:rPr>
          <w:sz w:val="20"/>
          <w:szCs w:val="20"/>
        </w:rPr>
        <w:t>s, and this</w:t>
      </w:r>
      <w:r w:rsidRPr="001F41F7">
        <w:rPr>
          <w:sz w:val="20"/>
          <w:szCs w:val="20"/>
        </w:rPr>
        <w:t xml:space="preserve"> can </w:t>
      </w:r>
      <w:r w:rsidR="002F0B41" w:rsidRPr="001F41F7">
        <w:rPr>
          <w:sz w:val="20"/>
          <w:szCs w:val="20"/>
        </w:rPr>
        <w:t>be</w:t>
      </w:r>
      <w:r w:rsidRPr="001F41F7">
        <w:rPr>
          <w:sz w:val="20"/>
          <w:szCs w:val="20"/>
        </w:rPr>
        <w:t xml:space="preserve"> </w:t>
      </w:r>
      <w:r w:rsidR="00A14B6B">
        <w:rPr>
          <w:sz w:val="20"/>
          <w:szCs w:val="20"/>
        </w:rPr>
        <w:t>very</w:t>
      </w:r>
      <w:r w:rsidRPr="001F41F7">
        <w:rPr>
          <w:sz w:val="20"/>
          <w:szCs w:val="20"/>
        </w:rPr>
        <w:t xml:space="preserve"> sensitive to </w:t>
      </w:r>
      <w:r w:rsidR="00263FEE">
        <w:rPr>
          <w:sz w:val="20"/>
          <w:szCs w:val="20"/>
        </w:rPr>
        <w:t>changes in the</w:t>
      </w:r>
      <w:r w:rsidR="00CC7805" w:rsidRPr="001F41F7">
        <w:rPr>
          <w:sz w:val="20"/>
          <w:szCs w:val="20"/>
        </w:rPr>
        <w:t xml:space="preserve"> resin </w:t>
      </w:r>
      <w:r w:rsidRPr="001F41F7">
        <w:rPr>
          <w:sz w:val="20"/>
          <w:szCs w:val="20"/>
        </w:rPr>
        <w:t>and solution conditions</w:t>
      </w:r>
      <w:r w:rsidR="0018667A">
        <w:rPr>
          <w:sz w:val="20"/>
          <w:szCs w:val="20"/>
        </w:rPr>
        <w:t xml:space="preserve">. </w:t>
      </w:r>
      <w:r w:rsidR="00FE2BBC">
        <w:rPr>
          <w:sz w:val="20"/>
          <w:szCs w:val="20"/>
        </w:rPr>
        <w:t xml:space="preserve">Resin screening studies are normally </w:t>
      </w:r>
      <w:r w:rsidR="000C25C2">
        <w:rPr>
          <w:sz w:val="20"/>
          <w:szCs w:val="20"/>
        </w:rPr>
        <w:t xml:space="preserve">performed </w:t>
      </w:r>
      <w:r w:rsidR="009E266A">
        <w:rPr>
          <w:sz w:val="20"/>
          <w:szCs w:val="20"/>
        </w:rPr>
        <w:t xml:space="preserve">during </w:t>
      </w:r>
      <w:r w:rsidR="00D34C1D">
        <w:rPr>
          <w:sz w:val="20"/>
          <w:szCs w:val="20"/>
        </w:rPr>
        <w:t>process development</w:t>
      </w:r>
      <w:r w:rsidR="000C25C2">
        <w:rPr>
          <w:sz w:val="20"/>
          <w:szCs w:val="20"/>
        </w:rPr>
        <w:t>, but they do not provide</w:t>
      </w:r>
      <w:r w:rsidR="0068011D">
        <w:rPr>
          <w:sz w:val="20"/>
          <w:szCs w:val="20"/>
        </w:rPr>
        <w:t xml:space="preserve"> </w:t>
      </w:r>
      <w:r w:rsidR="00A14B6B">
        <w:rPr>
          <w:sz w:val="20"/>
          <w:szCs w:val="20"/>
        </w:rPr>
        <w:t>transferable</w:t>
      </w:r>
      <w:r w:rsidR="000C25C2">
        <w:rPr>
          <w:sz w:val="20"/>
          <w:szCs w:val="20"/>
        </w:rPr>
        <w:t xml:space="preserve"> insights into HCP chromatographic behavior. </w:t>
      </w:r>
      <w:r w:rsidR="000F4B66">
        <w:rPr>
          <w:sz w:val="20"/>
          <w:szCs w:val="20"/>
        </w:rPr>
        <w:t xml:space="preserve">Given </w:t>
      </w:r>
      <w:r w:rsidR="009E266A" w:rsidRPr="001F41F7">
        <w:rPr>
          <w:sz w:val="20"/>
          <w:szCs w:val="20"/>
        </w:rPr>
        <w:t xml:space="preserve">the highly diverse nature of HCP profiles, </w:t>
      </w:r>
      <w:r w:rsidR="009E266A">
        <w:rPr>
          <w:sz w:val="20"/>
          <w:szCs w:val="20"/>
        </w:rPr>
        <w:t>t</w:t>
      </w:r>
      <w:r w:rsidR="00D34C1D">
        <w:rPr>
          <w:sz w:val="20"/>
          <w:szCs w:val="20"/>
        </w:rPr>
        <w:t xml:space="preserve">he present study seeks to better understand </w:t>
      </w:r>
      <w:r w:rsidR="000C25C2">
        <w:rPr>
          <w:sz w:val="20"/>
          <w:szCs w:val="20"/>
        </w:rPr>
        <w:t xml:space="preserve">the behavior of </w:t>
      </w:r>
      <w:r w:rsidR="00A14B6B">
        <w:rPr>
          <w:sz w:val="20"/>
          <w:szCs w:val="20"/>
        </w:rPr>
        <w:t xml:space="preserve">flow-through </w:t>
      </w:r>
      <w:r w:rsidR="009E266A">
        <w:rPr>
          <w:sz w:val="20"/>
          <w:szCs w:val="20"/>
        </w:rPr>
        <w:t>impurities</w:t>
      </w:r>
      <w:r w:rsidR="000C25C2">
        <w:rPr>
          <w:sz w:val="20"/>
          <w:szCs w:val="20"/>
        </w:rPr>
        <w:t xml:space="preserve"> in general</w:t>
      </w:r>
      <w:r w:rsidR="00AE0B28">
        <w:rPr>
          <w:sz w:val="20"/>
          <w:szCs w:val="20"/>
        </w:rPr>
        <w:t xml:space="preserve">. This </w:t>
      </w:r>
      <w:r w:rsidR="00EF5277" w:rsidRPr="001F41F7">
        <w:rPr>
          <w:sz w:val="20"/>
          <w:szCs w:val="20"/>
        </w:rPr>
        <w:t xml:space="preserve">could </w:t>
      </w:r>
      <w:r w:rsidR="00AE0B28">
        <w:rPr>
          <w:sz w:val="20"/>
          <w:szCs w:val="20"/>
        </w:rPr>
        <w:t>potentially</w:t>
      </w:r>
      <w:r w:rsidR="000C25C2">
        <w:rPr>
          <w:sz w:val="20"/>
          <w:szCs w:val="20"/>
        </w:rPr>
        <w:t xml:space="preserve"> </w:t>
      </w:r>
      <w:r w:rsidR="00EF5277" w:rsidRPr="001F41F7">
        <w:rPr>
          <w:sz w:val="20"/>
          <w:szCs w:val="20"/>
        </w:rPr>
        <w:t xml:space="preserve">help expedite process development, reduce costs, and increase consistency with quality by design principles. </w:t>
      </w:r>
      <w:r w:rsidR="00EF5277">
        <w:rPr>
          <w:sz w:val="20"/>
          <w:szCs w:val="20"/>
        </w:rPr>
        <w:t xml:space="preserve">It </w:t>
      </w:r>
      <w:r w:rsidR="00EF5277" w:rsidRPr="001F41F7">
        <w:rPr>
          <w:sz w:val="20"/>
          <w:szCs w:val="20"/>
        </w:rPr>
        <w:t xml:space="preserve">could also </w:t>
      </w:r>
      <w:r w:rsidR="00EF5277">
        <w:rPr>
          <w:sz w:val="20"/>
          <w:szCs w:val="20"/>
        </w:rPr>
        <w:t>help direct</w:t>
      </w:r>
      <w:r w:rsidR="00EF5277" w:rsidRPr="001F41F7">
        <w:rPr>
          <w:sz w:val="20"/>
          <w:szCs w:val="20"/>
        </w:rPr>
        <w:t xml:space="preserve"> future column modeling efforts, which to date have almost exclusively focused on product molecules rather than impurities. </w:t>
      </w:r>
    </w:p>
    <w:p w14:paraId="24FEC18D" w14:textId="539A34FE" w:rsidR="00732F18" w:rsidRPr="001F41F7" w:rsidRDefault="009E266A" w:rsidP="00463F49">
      <w:pPr>
        <w:ind w:firstLine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t xml:space="preserve">A general analysis is challenging for HCPs that persist via </w:t>
      </w:r>
      <w:r w:rsidRPr="001F41F7">
        <w:rPr>
          <w:sz w:val="20"/>
          <w:szCs w:val="20"/>
        </w:rPr>
        <w:t>product</w:t>
      </w:r>
      <w:r w:rsidR="005D7523" w:rsidRPr="001F41F7">
        <w:rPr>
          <w:sz w:val="20"/>
          <w:szCs w:val="20"/>
        </w:rPr>
        <w:t xml:space="preserve"> association</w:t>
      </w:r>
      <w:r>
        <w:rPr>
          <w:sz w:val="20"/>
          <w:szCs w:val="20"/>
        </w:rPr>
        <w:t xml:space="preserve">, </w:t>
      </w:r>
      <w:r w:rsidR="009F0094">
        <w:rPr>
          <w:sz w:val="20"/>
          <w:szCs w:val="20"/>
        </w:rPr>
        <w:t>which mechanistically</w:t>
      </w:r>
      <w:r>
        <w:rPr>
          <w:sz w:val="20"/>
          <w:szCs w:val="20"/>
        </w:rPr>
        <w:t xml:space="preserve"> </w:t>
      </w:r>
      <w:r w:rsidR="00174BBE">
        <w:rPr>
          <w:sz w:val="20"/>
          <w:szCs w:val="20"/>
        </w:rPr>
        <w:t>varies with</w:t>
      </w:r>
      <w:r w:rsidR="00575DDF">
        <w:rPr>
          <w:sz w:val="20"/>
          <w:szCs w:val="20"/>
        </w:rPr>
        <w:t xml:space="preserve"> </w:t>
      </w:r>
      <w:r w:rsidR="004A6211" w:rsidRPr="001F41F7">
        <w:rPr>
          <w:sz w:val="20"/>
          <w:szCs w:val="20"/>
        </w:rPr>
        <w:t>the therapeutic molecule</w:t>
      </w:r>
      <w:r w:rsidR="00755EE9">
        <w:rPr>
          <w:sz w:val="20"/>
          <w:szCs w:val="20"/>
        </w:rPr>
        <w:t xml:space="preserve">, but it appears to </w:t>
      </w:r>
      <w:r w:rsidR="001B24E0" w:rsidRPr="001F41F7">
        <w:rPr>
          <w:sz w:val="20"/>
          <w:szCs w:val="20"/>
        </w:rPr>
        <w:t xml:space="preserve">be </w:t>
      </w:r>
      <w:r w:rsidR="00892EE1">
        <w:rPr>
          <w:sz w:val="20"/>
          <w:szCs w:val="20"/>
        </w:rPr>
        <w:t>tractable</w:t>
      </w:r>
      <w:r w:rsidR="001B24E0" w:rsidRPr="001F41F7">
        <w:rPr>
          <w:sz w:val="20"/>
          <w:szCs w:val="20"/>
        </w:rPr>
        <w:t xml:space="preserve"> for </w:t>
      </w:r>
      <w:r w:rsidR="00D56B61">
        <w:rPr>
          <w:sz w:val="20"/>
          <w:szCs w:val="20"/>
        </w:rPr>
        <w:t xml:space="preserve">HCPs that persist via </w:t>
      </w:r>
      <w:r w:rsidR="001B24E0" w:rsidRPr="001F41F7">
        <w:rPr>
          <w:sz w:val="20"/>
          <w:szCs w:val="20"/>
        </w:rPr>
        <w:t>weak</w:t>
      </w:r>
      <w:r w:rsidR="00D56B61">
        <w:rPr>
          <w:sz w:val="20"/>
          <w:szCs w:val="20"/>
        </w:rPr>
        <w:t xml:space="preserve"> adsorption</w:t>
      </w:r>
      <w:r w:rsidR="00892EE1">
        <w:rPr>
          <w:sz w:val="20"/>
          <w:szCs w:val="20"/>
        </w:rPr>
        <w:t xml:space="preserve">. Two attributes of the flow-through process </w:t>
      </w:r>
      <w:r w:rsidR="002E21D6">
        <w:rPr>
          <w:sz w:val="20"/>
          <w:szCs w:val="20"/>
        </w:rPr>
        <w:t xml:space="preserve">make this </w:t>
      </w:r>
      <w:r w:rsidR="00755EE9">
        <w:rPr>
          <w:sz w:val="20"/>
          <w:szCs w:val="20"/>
        </w:rPr>
        <w:t>the case</w:t>
      </w:r>
      <w:r w:rsidR="00892EE1">
        <w:rPr>
          <w:sz w:val="20"/>
          <w:szCs w:val="20"/>
        </w:rPr>
        <w:t xml:space="preserve">. </w:t>
      </w:r>
      <w:r w:rsidR="00D97DAB">
        <w:rPr>
          <w:sz w:val="20"/>
          <w:szCs w:val="20"/>
        </w:rPr>
        <w:t>F</w:t>
      </w:r>
      <w:r w:rsidR="00942954" w:rsidRPr="001F41F7">
        <w:rPr>
          <w:sz w:val="20"/>
          <w:szCs w:val="20"/>
        </w:rPr>
        <w:t>low-through IEX is an isocratic proces</w:t>
      </w:r>
      <w:r w:rsidR="00D97DAB">
        <w:rPr>
          <w:sz w:val="20"/>
          <w:szCs w:val="20"/>
        </w:rPr>
        <w:t xml:space="preserve">s, and </w:t>
      </w:r>
      <w:r w:rsidR="00942954" w:rsidRPr="001F41F7">
        <w:rPr>
          <w:sz w:val="20"/>
          <w:szCs w:val="20"/>
        </w:rPr>
        <w:t xml:space="preserve">impurities that persist via weak adsorption </w:t>
      </w:r>
      <w:r w:rsidR="00171E41">
        <w:rPr>
          <w:sz w:val="20"/>
          <w:szCs w:val="20"/>
        </w:rPr>
        <w:t>do so because they break</w:t>
      </w:r>
      <w:r w:rsidR="00E405C2">
        <w:rPr>
          <w:sz w:val="20"/>
          <w:szCs w:val="20"/>
        </w:rPr>
        <w:t xml:space="preserve"> </w:t>
      </w:r>
      <w:r w:rsidR="00171E41">
        <w:rPr>
          <w:sz w:val="20"/>
          <w:szCs w:val="20"/>
        </w:rPr>
        <w:t xml:space="preserve">through to </w:t>
      </w:r>
      <w:r w:rsidR="00942954" w:rsidRPr="001F41F7">
        <w:rPr>
          <w:sz w:val="20"/>
          <w:szCs w:val="20"/>
        </w:rPr>
        <w:t xml:space="preserve">exist beyond the column’s saturation front. They occupy a solution </w:t>
      </w:r>
      <w:r w:rsidR="00171E41">
        <w:rPr>
          <w:sz w:val="20"/>
          <w:szCs w:val="20"/>
        </w:rPr>
        <w:t>that</w:t>
      </w:r>
      <w:r w:rsidR="00942954" w:rsidRPr="001F41F7">
        <w:rPr>
          <w:sz w:val="20"/>
          <w:szCs w:val="20"/>
        </w:rPr>
        <w:t xml:space="preserve"> is dilute with respect to adsorbing species</w:t>
      </w:r>
      <w:r w:rsidR="0011611F">
        <w:rPr>
          <w:sz w:val="20"/>
          <w:szCs w:val="20"/>
        </w:rPr>
        <w:t xml:space="preserve">, and their </w:t>
      </w:r>
      <w:r w:rsidR="00942954" w:rsidRPr="001F41F7">
        <w:rPr>
          <w:sz w:val="20"/>
          <w:szCs w:val="20"/>
        </w:rPr>
        <w:t xml:space="preserve">adsorption equilibria are therefore expected to be independent and linear. </w:t>
      </w:r>
      <w:r w:rsidR="000C25C2">
        <w:rPr>
          <w:sz w:val="20"/>
          <w:szCs w:val="20"/>
        </w:rPr>
        <w:t>This study attempted to</w:t>
      </w:r>
      <w:r w:rsidR="00942954" w:rsidRPr="001F41F7">
        <w:rPr>
          <w:sz w:val="20"/>
          <w:szCs w:val="20"/>
        </w:rPr>
        <w:t xml:space="preserve"> elucidate how transport and thermodynamic properties affect the breakthrough of</w:t>
      </w:r>
      <w:r w:rsidR="00394D11">
        <w:rPr>
          <w:sz w:val="20"/>
          <w:szCs w:val="20"/>
        </w:rPr>
        <w:t xml:space="preserve"> </w:t>
      </w:r>
      <w:r w:rsidR="00942954" w:rsidRPr="001F41F7">
        <w:rPr>
          <w:sz w:val="20"/>
          <w:szCs w:val="20"/>
        </w:rPr>
        <w:t xml:space="preserve">weakly-adsorbing </w:t>
      </w:r>
      <w:r w:rsidR="00394D11">
        <w:rPr>
          <w:sz w:val="20"/>
          <w:szCs w:val="20"/>
        </w:rPr>
        <w:t>impurities</w:t>
      </w:r>
      <w:r w:rsidR="00E405C2">
        <w:rPr>
          <w:sz w:val="20"/>
          <w:szCs w:val="20"/>
        </w:rPr>
        <w:t>, with the e</w:t>
      </w:r>
      <w:r w:rsidR="00CC320F" w:rsidRPr="001F41F7">
        <w:rPr>
          <w:sz w:val="20"/>
          <w:szCs w:val="20"/>
        </w:rPr>
        <w:t xml:space="preserve">mphasis placed on </w:t>
      </w:r>
      <w:r w:rsidR="00AD2D54" w:rsidRPr="001F41F7">
        <w:rPr>
          <w:sz w:val="20"/>
          <w:szCs w:val="20"/>
        </w:rPr>
        <w:t>contributions to the</w:t>
      </w:r>
      <w:r w:rsidR="00CC320F" w:rsidRPr="001F41F7">
        <w:rPr>
          <w:sz w:val="20"/>
          <w:szCs w:val="20"/>
        </w:rPr>
        <w:t xml:space="preserve"> initial breakthrough </w:t>
      </w:r>
      <w:r w:rsidR="00AB272A" w:rsidRPr="001F41F7">
        <w:rPr>
          <w:sz w:val="20"/>
          <w:szCs w:val="20"/>
        </w:rPr>
        <w:t xml:space="preserve">volume, as the goal of flow-through polishing is </w:t>
      </w:r>
      <w:r w:rsidR="00030E19">
        <w:rPr>
          <w:sz w:val="20"/>
          <w:szCs w:val="20"/>
        </w:rPr>
        <w:t xml:space="preserve">the </w:t>
      </w:r>
      <w:r w:rsidR="001863D8">
        <w:rPr>
          <w:sz w:val="20"/>
          <w:szCs w:val="20"/>
        </w:rPr>
        <w:t xml:space="preserve">complete removal of </w:t>
      </w:r>
      <w:r w:rsidR="00AB272A" w:rsidRPr="001F41F7">
        <w:rPr>
          <w:sz w:val="20"/>
          <w:szCs w:val="20"/>
        </w:rPr>
        <w:t xml:space="preserve">trace </w:t>
      </w:r>
      <w:r w:rsidR="001E4DC0">
        <w:rPr>
          <w:sz w:val="20"/>
          <w:szCs w:val="20"/>
        </w:rPr>
        <w:t>impurities</w:t>
      </w:r>
      <w:r w:rsidR="00AB272A" w:rsidRPr="001F41F7">
        <w:rPr>
          <w:sz w:val="20"/>
          <w:szCs w:val="20"/>
        </w:rPr>
        <w:t xml:space="preserve">. </w:t>
      </w:r>
    </w:p>
    <w:p w14:paraId="783BCA4A" w14:textId="19F5B7EC" w:rsidR="009A23C7" w:rsidRDefault="00AB378B" w:rsidP="00CC7968">
      <w:pPr>
        <w:ind w:firstLine="720"/>
        <w:jc w:val="both"/>
        <w:rPr>
          <w:sz w:val="20"/>
          <w:szCs w:val="20"/>
        </w:rPr>
      </w:pPr>
      <w:r w:rsidRPr="00E36D39"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252E558F" wp14:editId="59F3B9B9">
            <wp:simplePos x="0" y="0"/>
            <wp:positionH relativeFrom="column">
              <wp:posOffset>2555240</wp:posOffset>
            </wp:positionH>
            <wp:positionV relativeFrom="paragraph">
              <wp:posOffset>-1270</wp:posOffset>
            </wp:positionV>
            <wp:extent cx="3517265" cy="2638425"/>
            <wp:effectExtent l="0" t="0" r="6985" b="9525"/>
            <wp:wrapSquare wrapText="bothSides"/>
            <wp:docPr id="2" name="Picture 4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0BE35ED-1E26-4ECE-88FB-20B0CBA6CE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C0BE35ED-1E26-4ECE-88FB-20B0CBA6CE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B6B">
        <w:rPr>
          <w:sz w:val="20"/>
          <w:szCs w:val="20"/>
        </w:rPr>
        <w:t>C</w:t>
      </w:r>
      <w:r w:rsidR="00171E41" w:rsidRPr="001F41F7">
        <w:rPr>
          <w:sz w:val="20"/>
          <w:szCs w:val="20"/>
        </w:rPr>
        <w:t xml:space="preserve">hromatographic </w:t>
      </w:r>
      <w:r w:rsidR="0013257A">
        <w:rPr>
          <w:sz w:val="20"/>
          <w:szCs w:val="20"/>
        </w:rPr>
        <w:t xml:space="preserve">breakthrough </w:t>
      </w:r>
      <w:r w:rsidR="00171E41">
        <w:rPr>
          <w:sz w:val="20"/>
          <w:szCs w:val="20"/>
        </w:rPr>
        <w:t>was</w:t>
      </w:r>
      <w:r w:rsidR="000004D5" w:rsidRPr="001F41F7">
        <w:rPr>
          <w:sz w:val="20"/>
          <w:szCs w:val="20"/>
        </w:rPr>
        <w:t xml:space="preserve"> first simulated</w:t>
      </w:r>
      <w:r w:rsidR="00171E41">
        <w:rPr>
          <w:sz w:val="20"/>
          <w:szCs w:val="20"/>
        </w:rPr>
        <w:t xml:space="preserve"> using t</w:t>
      </w:r>
      <w:r w:rsidR="000004D5" w:rsidRPr="001F41F7">
        <w:rPr>
          <w:sz w:val="20"/>
          <w:szCs w:val="20"/>
        </w:rPr>
        <w:t>he general rate model and a Langmuir isotherm with parameters</w:t>
      </w:r>
      <w:r w:rsidR="0029109F" w:rsidRPr="001F41F7">
        <w:rPr>
          <w:sz w:val="20"/>
          <w:szCs w:val="20"/>
        </w:rPr>
        <w:t xml:space="preserve"> </w:t>
      </w:r>
      <w:r w:rsidR="00171E41">
        <w:rPr>
          <w:sz w:val="20"/>
          <w:szCs w:val="20"/>
        </w:rPr>
        <w:t xml:space="preserve">that are </w:t>
      </w:r>
      <w:r w:rsidR="000004D5" w:rsidRPr="001F41F7">
        <w:rPr>
          <w:sz w:val="20"/>
          <w:szCs w:val="20"/>
        </w:rPr>
        <w:t xml:space="preserve">representative of previous calibrations </w:t>
      </w:r>
      <w:r w:rsidR="004F6D21" w:rsidRPr="001F41F7">
        <w:rPr>
          <w:sz w:val="20"/>
          <w:szCs w:val="20"/>
        </w:rPr>
        <w:t>to</w:t>
      </w:r>
      <w:r w:rsidR="000004D5" w:rsidRPr="001F41F7">
        <w:rPr>
          <w:sz w:val="20"/>
          <w:szCs w:val="20"/>
        </w:rPr>
        <w:t xml:space="preserve"> model</w:t>
      </w:r>
      <w:r w:rsidR="00F00887" w:rsidRPr="001F41F7">
        <w:rPr>
          <w:sz w:val="20"/>
          <w:szCs w:val="20"/>
        </w:rPr>
        <w:t xml:space="preserve"> protein</w:t>
      </w:r>
      <w:r w:rsidR="000004D5" w:rsidRPr="001F41F7">
        <w:rPr>
          <w:sz w:val="20"/>
          <w:szCs w:val="20"/>
        </w:rPr>
        <w:t xml:space="preserve"> systems. </w:t>
      </w:r>
      <w:r w:rsidR="0013257A">
        <w:rPr>
          <w:sz w:val="20"/>
          <w:szCs w:val="20"/>
        </w:rPr>
        <w:t>The feed</w:t>
      </w:r>
      <w:r w:rsidR="00870F20" w:rsidRPr="001F41F7">
        <w:rPr>
          <w:sz w:val="20"/>
          <w:szCs w:val="20"/>
        </w:rPr>
        <w:t xml:space="preserve"> concentration</w:t>
      </w:r>
      <w:r w:rsidR="00341DF9" w:rsidRPr="001F41F7">
        <w:rPr>
          <w:sz w:val="20"/>
          <w:szCs w:val="20"/>
        </w:rPr>
        <w:t xml:space="preserve"> and </w:t>
      </w:r>
      <w:r w:rsidR="00F80D1E" w:rsidRPr="001F41F7">
        <w:rPr>
          <w:sz w:val="20"/>
          <w:szCs w:val="20"/>
        </w:rPr>
        <w:t>adsorption</w:t>
      </w:r>
      <w:r w:rsidR="00341DF9" w:rsidRPr="001F41F7">
        <w:rPr>
          <w:sz w:val="20"/>
          <w:szCs w:val="20"/>
        </w:rPr>
        <w:t xml:space="preserve"> equilibrium constant</w:t>
      </w:r>
      <w:r w:rsidR="0013257A">
        <w:rPr>
          <w:sz w:val="20"/>
          <w:szCs w:val="20"/>
        </w:rPr>
        <w:t xml:space="preserve"> </w:t>
      </w:r>
      <w:r w:rsidR="001862BA">
        <w:rPr>
          <w:sz w:val="20"/>
          <w:szCs w:val="20"/>
        </w:rPr>
        <w:t>were</w:t>
      </w:r>
      <w:r w:rsidR="0013257A">
        <w:rPr>
          <w:sz w:val="20"/>
          <w:szCs w:val="20"/>
        </w:rPr>
        <w:t xml:space="preserve"> varied, and breakthrough </w:t>
      </w:r>
      <w:r w:rsidR="00171E41">
        <w:rPr>
          <w:sz w:val="20"/>
          <w:szCs w:val="20"/>
        </w:rPr>
        <w:t>was</w:t>
      </w:r>
      <w:r w:rsidR="00870F20" w:rsidRPr="001F41F7">
        <w:rPr>
          <w:sz w:val="20"/>
          <w:szCs w:val="20"/>
        </w:rPr>
        <w:t xml:space="preserve"> observed to become </w:t>
      </w:r>
      <w:r w:rsidR="0013257A">
        <w:rPr>
          <w:sz w:val="20"/>
          <w:szCs w:val="20"/>
        </w:rPr>
        <w:t xml:space="preserve">quite </w:t>
      </w:r>
      <w:r w:rsidR="00870F20" w:rsidRPr="001F41F7">
        <w:rPr>
          <w:sz w:val="20"/>
          <w:szCs w:val="20"/>
        </w:rPr>
        <w:t>diffuse for dilute specie</w:t>
      </w:r>
      <w:r w:rsidR="0013257A">
        <w:rPr>
          <w:sz w:val="20"/>
          <w:szCs w:val="20"/>
        </w:rPr>
        <w:t>s</w:t>
      </w:r>
      <w:r w:rsidR="000B3652">
        <w:rPr>
          <w:sz w:val="20"/>
          <w:szCs w:val="20"/>
        </w:rPr>
        <w:t>. This means</w:t>
      </w:r>
      <w:r w:rsidR="00E405C2">
        <w:rPr>
          <w:sz w:val="20"/>
          <w:szCs w:val="20"/>
        </w:rPr>
        <w:t xml:space="preserve"> that</w:t>
      </w:r>
      <w:r w:rsidR="000B3652">
        <w:rPr>
          <w:sz w:val="20"/>
          <w:szCs w:val="20"/>
        </w:rPr>
        <w:t xml:space="preserve"> </w:t>
      </w:r>
      <w:r w:rsidR="001862BA">
        <w:rPr>
          <w:sz w:val="20"/>
          <w:szCs w:val="20"/>
        </w:rPr>
        <w:t>impurity</w:t>
      </w:r>
      <w:r w:rsidR="00870F20" w:rsidRPr="001F41F7">
        <w:rPr>
          <w:sz w:val="20"/>
          <w:szCs w:val="20"/>
        </w:rPr>
        <w:t xml:space="preserve"> breakthrough may </w:t>
      </w:r>
      <w:r w:rsidR="00E405C2">
        <w:rPr>
          <w:sz w:val="20"/>
          <w:szCs w:val="20"/>
        </w:rPr>
        <w:t>occur</w:t>
      </w:r>
      <w:r w:rsidR="00E405C2" w:rsidRPr="001F41F7">
        <w:rPr>
          <w:sz w:val="20"/>
          <w:szCs w:val="20"/>
        </w:rPr>
        <w:t xml:space="preserve"> </w:t>
      </w:r>
      <w:r w:rsidR="00341DF9" w:rsidRPr="001F41F7">
        <w:rPr>
          <w:sz w:val="20"/>
          <w:szCs w:val="20"/>
        </w:rPr>
        <w:t xml:space="preserve">at relatively low </w:t>
      </w:r>
      <w:r w:rsidR="00F5163F" w:rsidRPr="001F41F7">
        <w:rPr>
          <w:sz w:val="20"/>
          <w:szCs w:val="20"/>
        </w:rPr>
        <w:t>load</w:t>
      </w:r>
      <w:r w:rsidR="00341DF9" w:rsidRPr="001F41F7">
        <w:rPr>
          <w:sz w:val="20"/>
          <w:szCs w:val="20"/>
        </w:rPr>
        <w:t xml:space="preserve"> volumes</w:t>
      </w:r>
      <w:r w:rsidR="000B3652">
        <w:rPr>
          <w:sz w:val="20"/>
          <w:szCs w:val="20"/>
        </w:rPr>
        <w:t xml:space="preserve">, </w:t>
      </w:r>
      <w:r w:rsidR="00401D53" w:rsidRPr="001F41F7">
        <w:rPr>
          <w:sz w:val="20"/>
          <w:szCs w:val="20"/>
        </w:rPr>
        <w:t>even</w:t>
      </w:r>
      <w:r w:rsidR="00341DF9" w:rsidRPr="001F41F7">
        <w:rPr>
          <w:sz w:val="20"/>
          <w:szCs w:val="20"/>
        </w:rPr>
        <w:t xml:space="preserve"> </w:t>
      </w:r>
      <w:r w:rsidR="000B3652">
        <w:rPr>
          <w:sz w:val="20"/>
          <w:szCs w:val="20"/>
        </w:rPr>
        <w:t xml:space="preserve">for </w:t>
      </w:r>
      <w:r w:rsidR="008E7D1A" w:rsidRPr="001F41F7">
        <w:rPr>
          <w:sz w:val="20"/>
          <w:szCs w:val="20"/>
        </w:rPr>
        <w:t>moderately retained</w:t>
      </w:r>
      <w:r w:rsidR="00341DF9" w:rsidRPr="001F41F7">
        <w:rPr>
          <w:sz w:val="20"/>
          <w:szCs w:val="20"/>
        </w:rPr>
        <w:t xml:space="preserve"> </w:t>
      </w:r>
      <w:r w:rsidR="001862BA">
        <w:rPr>
          <w:sz w:val="20"/>
          <w:szCs w:val="20"/>
        </w:rPr>
        <w:t>HCPs</w:t>
      </w:r>
      <w:r w:rsidR="00341DF9" w:rsidRPr="001F41F7">
        <w:rPr>
          <w:sz w:val="20"/>
          <w:szCs w:val="20"/>
        </w:rPr>
        <w:t>.</w:t>
      </w:r>
      <w:r w:rsidR="00A64463" w:rsidRPr="001F41F7">
        <w:rPr>
          <w:sz w:val="20"/>
          <w:szCs w:val="20"/>
        </w:rPr>
        <w:t xml:space="preserve"> </w:t>
      </w:r>
      <w:r w:rsidR="001862BA">
        <w:rPr>
          <w:sz w:val="20"/>
          <w:szCs w:val="20"/>
        </w:rPr>
        <w:t>To a good approximation, t</w:t>
      </w:r>
      <w:r w:rsidR="001A17A4" w:rsidRPr="001F41F7">
        <w:rPr>
          <w:sz w:val="20"/>
          <w:szCs w:val="20"/>
        </w:rPr>
        <w:t>he</w:t>
      </w:r>
      <w:r w:rsidR="00E62180">
        <w:rPr>
          <w:sz w:val="20"/>
          <w:szCs w:val="20"/>
        </w:rPr>
        <w:t xml:space="preserve"> initial breakthrough volume</w:t>
      </w:r>
      <w:r w:rsidR="009A23C7">
        <w:rPr>
          <w:sz w:val="20"/>
          <w:szCs w:val="20"/>
        </w:rPr>
        <w:t xml:space="preserve"> </w:t>
      </w:r>
      <w:r w:rsidR="00171E41">
        <w:rPr>
          <w:sz w:val="20"/>
          <w:szCs w:val="20"/>
        </w:rPr>
        <w:t>was</w:t>
      </w:r>
      <w:r w:rsidR="007E36F2">
        <w:rPr>
          <w:sz w:val="20"/>
          <w:szCs w:val="20"/>
        </w:rPr>
        <w:t xml:space="preserve"> shown to</w:t>
      </w:r>
      <w:r w:rsidR="009A23C7">
        <w:rPr>
          <w:sz w:val="20"/>
          <w:szCs w:val="20"/>
        </w:rPr>
        <w:t xml:space="preserve"> be </w:t>
      </w:r>
      <w:r w:rsidR="000B3652">
        <w:rPr>
          <w:sz w:val="20"/>
          <w:szCs w:val="20"/>
        </w:rPr>
        <w:t>described by</w:t>
      </w:r>
      <w:r w:rsidR="009A23C7">
        <w:rPr>
          <w:sz w:val="20"/>
          <w:szCs w:val="20"/>
        </w:rPr>
        <w:t>:</w:t>
      </w:r>
    </w:p>
    <w:p w14:paraId="56377049" w14:textId="77777777" w:rsidR="00AB378B" w:rsidRDefault="00AB378B" w:rsidP="00CC7968">
      <w:pPr>
        <w:ind w:firstLine="720"/>
        <w:jc w:val="both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8"/>
        <w:gridCol w:w="497"/>
      </w:tblGrid>
      <w:tr w:rsidR="00BF64E2" w:rsidRPr="00186B0F" w14:paraId="05A8E522" w14:textId="77777777" w:rsidTr="00806687">
        <w:trPr>
          <w:trHeight w:val="398"/>
        </w:trPr>
        <w:tc>
          <w:tcPr>
            <w:tcW w:w="3498" w:type="dxa"/>
            <w:shd w:val="clear" w:color="auto" w:fill="auto"/>
            <w:vAlign w:val="bottom"/>
          </w:tcPr>
          <w:p w14:paraId="7028E47D" w14:textId="77777777" w:rsidR="00BF64E2" w:rsidRPr="00BF64E2" w:rsidRDefault="00BF64E2" w:rsidP="005E18C9">
            <w:pPr>
              <w:ind w:firstLine="72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break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eq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∆C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break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97" w:type="dxa"/>
            <w:shd w:val="clear" w:color="auto" w:fill="auto"/>
            <w:vAlign w:val="bottom"/>
          </w:tcPr>
          <w:p w14:paraId="6BD280ED" w14:textId="19F03ED4" w:rsidR="00BF64E2" w:rsidRPr="00186B0F" w:rsidRDefault="00BF64E2" w:rsidP="005E18C9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186B0F">
              <w:rPr>
                <w:rFonts w:cs="Arial"/>
                <w:sz w:val="20"/>
                <w:szCs w:val="20"/>
              </w:rPr>
              <w:t>(</w:t>
            </w:r>
            <w:r w:rsidRPr="00186B0F">
              <w:rPr>
                <w:sz w:val="20"/>
                <w:szCs w:val="20"/>
              </w:rPr>
              <w:fldChar w:fldCharType="begin"/>
            </w:r>
            <w:r w:rsidRPr="000B3DA8">
              <w:rPr>
                <w:rFonts w:cs="Arial"/>
                <w:sz w:val="20"/>
                <w:szCs w:val="20"/>
              </w:rPr>
              <w:instrText xml:space="preserve"> SEQ ( \* ARABIC </w:instrText>
            </w:r>
            <w:r w:rsidRPr="00186B0F">
              <w:rPr>
                <w:sz w:val="20"/>
                <w:szCs w:val="20"/>
              </w:rPr>
              <w:fldChar w:fldCharType="separate"/>
            </w:r>
            <w:r w:rsidR="00B278E3">
              <w:rPr>
                <w:rFonts w:cs="Arial"/>
                <w:noProof/>
                <w:sz w:val="20"/>
                <w:szCs w:val="20"/>
              </w:rPr>
              <w:t>1</w:t>
            </w:r>
            <w:r w:rsidRPr="00186B0F">
              <w:rPr>
                <w:sz w:val="20"/>
                <w:szCs w:val="20"/>
              </w:rPr>
              <w:fldChar w:fldCharType="end"/>
            </w:r>
            <w:r w:rsidRPr="00186B0F">
              <w:rPr>
                <w:rFonts w:cs="Arial"/>
                <w:sz w:val="20"/>
                <w:szCs w:val="20"/>
              </w:rPr>
              <w:t>)</w:t>
            </w:r>
          </w:p>
        </w:tc>
      </w:tr>
    </w:tbl>
    <w:p w14:paraId="2BEBD655" w14:textId="1BC11146" w:rsidR="00AB378B" w:rsidRDefault="00BF64E2" w:rsidP="003D6C05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88960" behindDoc="1" locked="1" layoutInCell="1" allowOverlap="1" wp14:anchorId="5D7B0E9E" wp14:editId="77BA6155">
                <wp:simplePos x="0" y="0"/>
                <wp:positionH relativeFrom="margin">
                  <wp:posOffset>2771775</wp:posOffset>
                </wp:positionH>
                <wp:positionV relativeFrom="paragraph">
                  <wp:posOffset>384810</wp:posOffset>
                </wp:positionV>
                <wp:extent cx="3219450" cy="1209675"/>
                <wp:effectExtent l="0" t="0" r="0" b="9525"/>
                <wp:wrapTight wrapText="bothSides">
                  <wp:wrapPolygon edited="0">
                    <wp:start x="0" y="0"/>
                    <wp:lineTo x="0" y="21430"/>
                    <wp:lineTo x="21472" y="21430"/>
                    <wp:lineTo x="21472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209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70186" w14:textId="67F3BB5B" w:rsidR="003D493A" w:rsidRPr="00E47C1C" w:rsidRDefault="003D493A" w:rsidP="003D493A">
                            <w:pPr>
                              <w:pStyle w:val="Caption"/>
                              <w:jc w:val="both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1" w:name="_Ref78273831"/>
                            <w:r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278E3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"/>
                            <w:r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BF64E2"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Generalization of transport contributions to the breakthrough volume of </w:t>
                            </w:r>
                            <w:r w:rsidR="008832D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dilute, </w:t>
                            </w:r>
                            <w:r w:rsidR="00BF64E2"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t>weakly-adsorbing</w:t>
                            </w:r>
                            <w:r w:rsidR="008832DB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64E2"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impurities. The slope </w:t>
                            </w:r>
                            <w:r w:rsidR="00E47C1C" w:rsidRPr="00E47C1C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term from eq. 1 is plotted on the ordinate, normalized by the ideal linear limit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auto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  <w:sz w:val="20"/>
                                          <w:szCs w:val="20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auto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oMath>
                            <w:r w:rsidR="00E47C1C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, where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="00E47C1C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 is total porosity. </w:t>
                            </w:r>
                            <w:r w:rsidR="00D47874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The particle </w:t>
                            </w:r>
                            <w:r w:rsidR="00D47874" w:rsidRPr="00D47874">
                              <w:rPr>
                                <w:color w:val="auto"/>
                                <w:sz w:val="20"/>
                                <w:szCs w:val="20"/>
                              </w:rPr>
                              <w:t>Péclet</w:t>
                            </w:r>
                            <w:r w:rsidR="00D47874" w:rsidRPr="00D47874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7874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number,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uto"/>
                                  <w:sz w:val="20"/>
                                  <w:szCs w:val="20"/>
                                </w:rPr>
                                <m:t>Pé</m:t>
                              </m:r>
                            </m:oMath>
                            <w:r w:rsidR="00D47874" w:rsidRPr="00D47874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>,</w:t>
                            </w:r>
                            <w:r w:rsidR="00D47874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 is plotted on the abscissa. </w:t>
                            </w:r>
                            <w:r w:rsidR="00E47C1C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>Correlations</w:t>
                            </w:r>
                            <w:r w:rsidR="004D70E2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 are shown</w:t>
                            </w:r>
                            <w:r w:rsidR="00E47C1C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7874" w:rsidRPr="00D47874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uto"/>
                                  <w:sz w:val="20"/>
                                  <w:szCs w:val="20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  <w:sz w:val="20"/>
                                      <w:szCs w:val="20"/>
                                    </w:rPr>
                                    <m:t>break</m:t>
                                  </m:r>
                                </m:sub>
                              </m:sSub>
                            </m:oMath>
                            <w:r w:rsidR="00D47874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 is defined as</w:t>
                            </w:r>
                            <w:r w:rsidR="00E47C1C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 1% breakthrough (blue series) and 50% breakthrough (orange series).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B0E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8.25pt;margin-top:30.3pt;width:253.5pt;height:95.25pt;z-index:-251627520;visibility:visible;mso-wrap-style:square;mso-width-percent:0;mso-height-percent:0;mso-wrap-distance-left:21.6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rTLQIAAGEEAAAOAAAAZHJzL2Uyb0RvYy54bWysVE1vEzEQvSPxHyzfySaBFrrKpgqpgpCq&#10;tlKCena8dtaS12PGTnbDr2e8HykUToiLMzvz/Ow3b5zFbVtbdlIYDLiCzyZTzpSTUBp3KPi33ebd&#10;J85CFK4UFpwq+FkFfrt8+2bR+FzNoQJbKmRE4kLe+IJXMfo8y4KsVC3CBLxyVNSAtYj0iYesRNEQ&#10;e22z+XR6nTWApUeQKgTK3vVFvuz4tVYyPmodVGS24HS32K3Yrfu0ZsuFyA8ofGXkcA3xD7eohXF0&#10;6IXqTkTBjmj+oKqNRAig40RCnYHWRqpOA6mZTV+p2VbCq04LNSf4S5vC/6OVD6cnZKYk7zhzoiaL&#10;dqqN7DO0bJa60/iQE2jrCRZbSifkkA+UTKJbjXX6JTmM6tTn86W3iUxS8v18dvPhikqSarP59Ob6&#10;41XiyV62ewzxi4KapaDgSOZ1PRWn+xB76AhJpwWwptwYa9NHKqwtspMgo5vKRDWQ/4ayLmEdpF09&#10;YcpkSWOvJUWx3beDwD2UZ9KN0M9N8HJj6KB7EeKTQBoU0kPDHx9p0RaagsMQcVYB/vhbPuHJP6py&#10;1tDgFTx8PwpUnNmvjpxNUzoGOAb7MXDHeg0kkdyi23QhbcBox1Aj1M/0JlbpFCoJJ+msgscxXMd+&#10;/OlNSbVadSCaRS/ivdt6majHhu7aZ4F+sCOSkw8wjqTIX7nSY/v2ro4RtOksSw3tuzj0mea4M314&#10;c+mh/PrdoV7+GZY/AQAA//8DAFBLAwQUAAYACAAAACEAh2Usx+AAAAAKAQAADwAAAGRycy9kb3du&#10;cmV2LnhtbEyPTU/DMAyG70j8h8hIXBBL223VKE0n2OAGh31o56wxbUXjVE26dv8ec4Kj7VePnzdf&#10;T7YVF+x940hBPItAIJXONFQpOB7eH1cgfNBkdOsIFVzRw7q4vcl1ZtxIO7zsQyUYQj7TCuoQukxK&#10;X9ZotZ+5DolvX663OvDYV9L0emS4bWUSRam0uiH+UOsONzWW3/vBKki3/TDuaPOwPb596M+uSk6v&#10;15NS93fTyzOIgFP4C8OvPqtDwU5nN5DxolWwmKdLjjIsSkFw4Gkx58VZQbKMY5BFLv9XKH4AAAD/&#10;/wMAUEsBAi0AFAAGAAgAAAAhALaDOJL+AAAA4QEAABMAAAAAAAAAAAAAAAAAAAAAAFtDb250ZW50&#10;X1R5cGVzXS54bWxQSwECLQAUAAYACAAAACEAOP0h/9YAAACUAQAACwAAAAAAAAAAAAAAAAAvAQAA&#10;X3JlbHMvLnJlbHNQSwECLQAUAAYACAAAACEAse1K0y0CAABhBAAADgAAAAAAAAAAAAAAAAAuAgAA&#10;ZHJzL2Uyb0RvYy54bWxQSwECLQAUAAYACAAAACEAh2Usx+AAAAAKAQAADwAAAAAAAAAAAAAAAACH&#10;BAAAZHJzL2Rvd25yZXYueG1sUEsFBgAAAAAEAAQA8wAAAJQFAAAAAA==&#10;" stroked="f">
                <v:textbox inset="0,0,0,0">
                  <w:txbxContent>
                    <w:p w14:paraId="62A70186" w14:textId="67F3BB5B" w:rsidR="003D493A" w:rsidRPr="00E47C1C" w:rsidRDefault="003D493A" w:rsidP="003D493A">
                      <w:pPr>
                        <w:pStyle w:val="Caption"/>
                        <w:jc w:val="both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2" w:name="_Ref78273831"/>
                      <w:r w:rsidRPr="00E47C1C">
                        <w:rPr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E47C1C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E47C1C">
                        <w:rPr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E47C1C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B278E3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E47C1C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bookmarkEnd w:id="2"/>
                      <w:r w:rsidRPr="00E47C1C">
                        <w:rPr>
                          <w:color w:val="auto"/>
                          <w:sz w:val="20"/>
                          <w:szCs w:val="20"/>
                        </w:rPr>
                        <w:t xml:space="preserve">. </w:t>
                      </w:r>
                      <w:r w:rsidR="00BF64E2" w:rsidRPr="00E47C1C">
                        <w:rPr>
                          <w:color w:val="auto"/>
                          <w:sz w:val="20"/>
                          <w:szCs w:val="20"/>
                        </w:rPr>
                        <w:t xml:space="preserve">Generalization of transport contributions to the breakthrough volume of </w:t>
                      </w:r>
                      <w:r w:rsidR="008832DB">
                        <w:rPr>
                          <w:color w:val="auto"/>
                          <w:sz w:val="20"/>
                          <w:szCs w:val="20"/>
                        </w:rPr>
                        <w:t xml:space="preserve">dilute, </w:t>
                      </w:r>
                      <w:r w:rsidR="00BF64E2" w:rsidRPr="00E47C1C">
                        <w:rPr>
                          <w:color w:val="auto"/>
                          <w:sz w:val="20"/>
                          <w:szCs w:val="20"/>
                        </w:rPr>
                        <w:t>weakly-adsorbing</w:t>
                      </w:r>
                      <w:r w:rsidR="008832DB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BF64E2" w:rsidRPr="00E47C1C">
                        <w:rPr>
                          <w:color w:val="auto"/>
                          <w:sz w:val="20"/>
                          <w:szCs w:val="20"/>
                        </w:rPr>
                        <w:t xml:space="preserve">impurities. The slope </w:t>
                      </w:r>
                      <w:r w:rsidR="00E47C1C" w:rsidRPr="00E47C1C">
                        <w:rPr>
                          <w:color w:val="auto"/>
                          <w:sz w:val="20"/>
                          <w:szCs w:val="20"/>
                        </w:rPr>
                        <w:t xml:space="preserve">term from eq. 1 is plotted on the ordinate, normalized by the ideal linear limit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color w:val="auto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auto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0"/>
                                    <w:szCs w:val="20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</m:ctrlPr>
                          </m:e>
                        </m:d>
                      </m:oMath>
                      <w:r w:rsidR="00E47C1C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, where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oMath>
                      <w:r w:rsidR="00E47C1C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 is total porosity. </w:t>
                      </w:r>
                      <w:r w:rsidR="00D47874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The particle </w:t>
                      </w:r>
                      <w:r w:rsidR="00D47874" w:rsidRPr="00D47874">
                        <w:rPr>
                          <w:color w:val="auto"/>
                          <w:sz w:val="20"/>
                          <w:szCs w:val="20"/>
                        </w:rPr>
                        <w:t>Péclet</w:t>
                      </w:r>
                      <w:r w:rsidR="00D47874" w:rsidRPr="00D47874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D47874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number, </w:t>
                      </w:r>
                      <m:oMath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Pé</m:t>
                        </m:r>
                      </m:oMath>
                      <w:r w:rsidR="00D47874" w:rsidRPr="00D47874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>,</w:t>
                      </w:r>
                      <w:r w:rsidR="00D47874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 is plotted on the abscissa. </w:t>
                      </w:r>
                      <w:r w:rsidR="00E47C1C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>Correlations</w:t>
                      </w:r>
                      <w:r w:rsidR="004D70E2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 are shown</w:t>
                      </w:r>
                      <w:r w:rsidR="00E47C1C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D47874" w:rsidRPr="00D47874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where </w:t>
                      </w:r>
                      <m:oMath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uto"/>
                                <w:sz w:val="20"/>
                                <w:szCs w:val="20"/>
                              </w:rPr>
                              <m:t>break</m:t>
                            </m:r>
                          </m:sub>
                        </m:sSub>
                      </m:oMath>
                      <w:r w:rsidR="00D47874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 is defined as</w:t>
                      </w:r>
                      <w:r w:rsidR="00E47C1C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 1% breakthrough (blue series) and 50% breakthrough (orange series).</w:t>
                      </w:r>
                    </w:p>
                  </w:txbxContent>
                </v:textbox>
                <w10:wrap type="tight" anchorx="margin"/>
                <w10:anchorlock/>
              </v:shape>
            </w:pict>
          </mc:Fallback>
        </mc:AlternateContent>
      </w:r>
    </w:p>
    <w:p w14:paraId="1B9B64B4" w14:textId="029D882B" w:rsidR="003D493A" w:rsidRDefault="00AB378B" w:rsidP="003D6C0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Here, </w:t>
      </w:r>
      <m:oMath>
        <m:r>
          <w:rPr>
            <w:rFonts w:ascii="Cambria Math" w:hAnsi="Cambria Math"/>
            <w:sz w:val="20"/>
            <w:szCs w:val="20"/>
          </w:rPr>
          <m:t>C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break</m:t>
            </m:r>
          </m:sub>
        </m:sSub>
      </m:oMath>
      <w:r w:rsidR="009A23C7">
        <w:rPr>
          <w:rFonts w:eastAsiaTheme="minorEastAsia"/>
          <w:iCs/>
          <w:sz w:val="20"/>
          <w:szCs w:val="20"/>
        </w:rPr>
        <w:t xml:space="preserve"> represents the initial breakthrough volume</w:t>
      </w:r>
      <w:r w:rsidR="00CC5514">
        <w:rPr>
          <w:rFonts w:eastAsiaTheme="minorEastAsia"/>
          <w:iCs/>
          <w:sz w:val="20"/>
          <w:szCs w:val="20"/>
        </w:rPr>
        <w:t xml:space="preserve"> normalized by the column volume</w:t>
      </w:r>
      <w:r w:rsidR="009A23C7">
        <w:rPr>
          <w:rFonts w:eastAsiaTheme="minorEastAsia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  <w:r w:rsidR="009A23C7">
        <w:rPr>
          <w:rFonts w:eastAsiaTheme="minorEastAsia"/>
          <w:iCs/>
          <w:sz w:val="20"/>
          <w:szCs w:val="20"/>
        </w:rPr>
        <w:t xml:space="preserve"> is the column porosity,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eq</m:t>
            </m:r>
          </m:sub>
        </m:sSub>
      </m:oMath>
      <w:r w:rsidR="009A23C7">
        <w:rPr>
          <w:rFonts w:eastAsiaTheme="minorEastAsia"/>
          <w:iCs/>
          <w:sz w:val="20"/>
          <w:szCs w:val="20"/>
        </w:rPr>
        <w:t xml:space="preserve"> is the adsorption equilibrium constant, and </w:t>
      </w:r>
      <m:oMath>
        <m:r>
          <w:rPr>
            <w:rFonts w:ascii="Cambria Math" w:hAnsi="Cambria Math"/>
            <w:sz w:val="20"/>
            <w:szCs w:val="20"/>
          </w:rPr>
          <m:t>∆C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break</m:t>
            </m:r>
          </m:sub>
        </m:sSub>
        <m:r>
          <w:rPr>
            <w:rFonts w:ascii="Cambria Math" w:hAnsi="Cambria Math"/>
            <w:sz w:val="20"/>
            <w:szCs w:val="20"/>
          </w:rPr>
          <m:t>/∆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eq</m:t>
            </m:r>
          </m:sub>
        </m:sSub>
      </m:oMath>
      <w:r w:rsidR="009A23C7">
        <w:rPr>
          <w:rFonts w:eastAsiaTheme="minorEastAsia"/>
          <w:iCs/>
          <w:sz w:val="20"/>
          <w:szCs w:val="20"/>
        </w:rPr>
        <w:t xml:space="preserve"> is a slope term. </w:t>
      </w:r>
      <w:r w:rsidR="003F5054">
        <w:rPr>
          <w:sz w:val="20"/>
          <w:szCs w:val="20"/>
        </w:rPr>
        <w:t>This slope</w:t>
      </w:r>
      <w:r w:rsidR="009A23C7">
        <w:rPr>
          <w:sz w:val="20"/>
          <w:szCs w:val="20"/>
        </w:rPr>
        <w:t xml:space="preserve"> </w:t>
      </w:r>
      <w:r w:rsidR="00725355" w:rsidRPr="001F41F7">
        <w:rPr>
          <w:noProof/>
          <w:sz w:val="20"/>
          <w:szCs w:val="20"/>
        </w:rPr>
        <w:lastRenderedPageBreak/>
        <w:drawing>
          <wp:anchor distT="0" distB="0" distL="114300" distR="182880" simplePos="0" relativeHeight="251684864" behindDoc="1" locked="0" layoutInCell="1" allowOverlap="1" wp14:anchorId="448C2409" wp14:editId="45B1C8AB">
            <wp:simplePos x="0" y="0"/>
            <wp:positionH relativeFrom="margin">
              <wp:posOffset>-209550</wp:posOffset>
            </wp:positionH>
            <wp:positionV relativeFrom="paragraph">
              <wp:posOffset>0</wp:posOffset>
            </wp:positionV>
            <wp:extent cx="3838575" cy="2839085"/>
            <wp:effectExtent l="0" t="0" r="9525" b="0"/>
            <wp:wrapTight wrapText="bothSides">
              <wp:wrapPolygon edited="0">
                <wp:start x="0" y="0"/>
                <wp:lineTo x="0" y="21450"/>
                <wp:lineTo x="21546" y="21450"/>
                <wp:lineTo x="21546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t="3474" r="2488" b="3935"/>
                    <a:stretch/>
                  </pic:blipFill>
                  <pic:spPr bwMode="auto">
                    <a:xfrm>
                      <a:off x="0" y="0"/>
                      <a:ext cx="383857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E41">
        <w:rPr>
          <w:noProof/>
          <w:sz w:val="20"/>
          <w:szCs w:val="20"/>
        </w:rPr>
        <w:t>was</w:t>
      </w:r>
      <w:r w:rsidR="009A23C7">
        <w:rPr>
          <w:sz w:val="20"/>
          <w:szCs w:val="20"/>
        </w:rPr>
        <w:t xml:space="preserve"> shown to be dictated by transport parameters</w:t>
      </w:r>
      <w:r w:rsidR="003F5054">
        <w:rPr>
          <w:sz w:val="20"/>
          <w:szCs w:val="20"/>
        </w:rPr>
        <w:t>, indicating</w:t>
      </w:r>
      <w:r w:rsidR="00E405C2">
        <w:rPr>
          <w:sz w:val="20"/>
          <w:szCs w:val="20"/>
        </w:rPr>
        <w:t xml:space="preserve"> that</w:t>
      </w:r>
      <w:r w:rsidR="003F5054">
        <w:rPr>
          <w:sz w:val="20"/>
          <w:szCs w:val="20"/>
        </w:rPr>
        <w:t xml:space="preserve"> </w:t>
      </w:r>
      <w:r w:rsidR="00CC320F" w:rsidRPr="001F41F7">
        <w:rPr>
          <w:sz w:val="20"/>
          <w:szCs w:val="20"/>
        </w:rPr>
        <w:t>t</w:t>
      </w:r>
      <w:r w:rsidR="00A64463" w:rsidRPr="001F41F7">
        <w:rPr>
          <w:sz w:val="20"/>
          <w:szCs w:val="20"/>
        </w:rPr>
        <w:t>hermodynamic and transport contributions to the initial breakthrough volume</w:t>
      </w:r>
      <w:r w:rsidR="001A17A4" w:rsidRPr="001F41F7">
        <w:rPr>
          <w:sz w:val="20"/>
          <w:szCs w:val="20"/>
        </w:rPr>
        <w:t xml:space="preserve"> </w:t>
      </w:r>
      <w:r w:rsidR="006E5EBE">
        <w:rPr>
          <w:sz w:val="20"/>
          <w:szCs w:val="20"/>
        </w:rPr>
        <w:t>are</w:t>
      </w:r>
      <w:r w:rsidR="00CC320F" w:rsidRPr="001F41F7">
        <w:rPr>
          <w:sz w:val="20"/>
          <w:szCs w:val="20"/>
        </w:rPr>
        <w:t xml:space="preserve"> separable</w:t>
      </w:r>
      <w:r w:rsidR="00CC5514">
        <w:rPr>
          <w:sz w:val="20"/>
          <w:szCs w:val="20"/>
        </w:rPr>
        <w:t xml:space="preserve">. </w:t>
      </w:r>
      <w:r w:rsidR="001A09E6">
        <w:rPr>
          <w:sz w:val="20"/>
          <w:szCs w:val="20"/>
        </w:rPr>
        <w:t>Also, because t</w:t>
      </w:r>
      <w:r w:rsidR="003D6C05">
        <w:rPr>
          <w:sz w:val="20"/>
          <w:szCs w:val="20"/>
        </w:rPr>
        <w:t xml:space="preserve">ransport contributions </w:t>
      </w:r>
      <w:r w:rsidR="006E5EBE">
        <w:rPr>
          <w:sz w:val="20"/>
          <w:szCs w:val="20"/>
        </w:rPr>
        <w:t>are</w:t>
      </w:r>
      <w:r w:rsidR="00CC5514">
        <w:rPr>
          <w:sz w:val="20"/>
          <w:szCs w:val="20"/>
        </w:rPr>
        <w:t xml:space="preserve"> described</w:t>
      </w:r>
      <w:r w:rsidR="003D6C05">
        <w:rPr>
          <w:sz w:val="20"/>
          <w:szCs w:val="20"/>
        </w:rPr>
        <w:t xml:space="preserve"> </w:t>
      </w:r>
      <w:r w:rsidR="00CC5514">
        <w:rPr>
          <w:sz w:val="20"/>
          <w:szCs w:val="20"/>
        </w:rPr>
        <w:t xml:space="preserve">by </w:t>
      </w:r>
      <w:r w:rsidR="001A09E6">
        <w:rPr>
          <w:sz w:val="20"/>
          <w:szCs w:val="20"/>
        </w:rPr>
        <w:t>a single</w:t>
      </w:r>
      <w:r w:rsidR="003F5054">
        <w:rPr>
          <w:sz w:val="20"/>
          <w:szCs w:val="20"/>
        </w:rPr>
        <w:t xml:space="preserve"> </w:t>
      </w:r>
      <w:r w:rsidR="00E405C2">
        <w:rPr>
          <w:sz w:val="20"/>
          <w:szCs w:val="20"/>
        </w:rPr>
        <w:t>factor</w:t>
      </w:r>
      <w:r w:rsidR="00CC5514">
        <w:rPr>
          <w:sz w:val="20"/>
          <w:szCs w:val="20"/>
        </w:rPr>
        <w:t xml:space="preserve">, </w:t>
      </w:r>
      <w:r w:rsidR="00FB0A93">
        <w:rPr>
          <w:sz w:val="20"/>
          <w:szCs w:val="20"/>
        </w:rPr>
        <w:t>eq. 1</w:t>
      </w:r>
      <w:r w:rsidR="001A09E6">
        <w:rPr>
          <w:sz w:val="20"/>
          <w:szCs w:val="20"/>
        </w:rPr>
        <w:t xml:space="preserve"> suggest</w:t>
      </w:r>
      <w:r w:rsidR="006E5EBE">
        <w:rPr>
          <w:sz w:val="20"/>
          <w:szCs w:val="20"/>
        </w:rPr>
        <w:t>s</w:t>
      </w:r>
      <w:r w:rsidR="00E405C2">
        <w:rPr>
          <w:sz w:val="20"/>
          <w:szCs w:val="20"/>
        </w:rPr>
        <w:t xml:space="preserve"> that</w:t>
      </w:r>
      <w:r w:rsidR="003D6C05">
        <w:rPr>
          <w:sz w:val="20"/>
          <w:szCs w:val="20"/>
        </w:rPr>
        <w:t xml:space="preserve"> </w:t>
      </w:r>
      <w:r w:rsidR="001A09E6">
        <w:rPr>
          <w:sz w:val="20"/>
          <w:szCs w:val="20"/>
        </w:rPr>
        <w:t xml:space="preserve">a </w:t>
      </w:r>
      <w:r w:rsidR="003D6C05">
        <w:rPr>
          <w:sz w:val="20"/>
          <w:szCs w:val="20"/>
        </w:rPr>
        <w:t xml:space="preserve">dimensionless </w:t>
      </w:r>
      <w:r w:rsidR="00CC5514">
        <w:rPr>
          <w:sz w:val="20"/>
          <w:szCs w:val="20"/>
        </w:rPr>
        <w:t>group</w:t>
      </w:r>
      <w:r w:rsidR="003D6C05">
        <w:rPr>
          <w:sz w:val="20"/>
          <w:szCs w:val="20"/>
        </w:rPr>
        <w:t xml:space="preserve"> may </w:t>
      </w:r>
      <w:r w:rsidR="00CC5514">
        <w:rPr>
          <w:sz w:val="20"/>
          <w:szCs w:val="20"/>
        </w:rPr>
        <w:t>be able to generalize</w:t>
      </w:r>
      <w:r w:rsidR="003D6C05">
        <w:rPr>
          <w:sz w:val="20"/>
          <w:szCs w:val="20"/>
        </w:rPr>
        <w:t xml:space="preserve"> transport </w:t>
      </w:r>
      <w:r w:rsidR="00CC5514">
        <w:rPr>
          <w:sz w:val="20"/>
          <w:szCs w:val="20"/>
        </w:rPr>
        <w:t>effects</w:t>
      </w:r>
      <w:r w:rsidR="003D6C05">
        <w:rPr>
          <w:sz w:val="20"/>
          <w:szCs w:val="20"/>
        </w:rPr>
        <w:t>.</w:t>
      </w:r>
    </w:p>
    <w:p w14:paraId="2D7F4C7A" w14:textId="137EC178" w:rsidR="006864FF" w:rsidRPr="001F41F7" w:rsidRDefault="00673F3E" w:rsidP="00CC5514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86912" behindDoc="1" locked="0" layoutInCell="1" allowOverlap="1" wp14:anchorId="2CE9DE07" wp14:editId="1BC41D17">
                <wp:simplePos x="0" y="0"/>
                <wp:positionH relativeFrom="margin">
                  <wp:align>left</wp:align>
                </wp:positionH>
                <wp:positionV relativeFrom="paragraph">
                  <wp:posOffset>1281430</wp:posOffset>
                </wp:positionV>
                <wp:extent cx="3629025" cy="942975"/>
                <wp:effectExtent l="0" t="0" r="9525" b="9525"/>
                <wp:wrapTight wrapText="bothSides">
                  <wp:wrapPolygon edited="0">
                    <wp:start x="0" y="0"/>
                    <wp:lineTo x="0" y="21382"/>
                    <wp:lineTo x="21543" y="21382"/>
                    <wp:lineTo x="2154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942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70A1A" w14:textId="4CBF08E6" w:rsidR="00673F3E" w:rsidRPr="00061823" w:rsidRDefault="00673F3E" w:rsidP="00673F3E">
                            <w:pPr>
                              <w:pStyle w:val="Caption"/>
                              <w:jc w:val="both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3" w:name="_Ref78273848"/>
                            <w:r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278E3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3"/>
                            <w:r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t>. Experimental validation of the particle Péclet number effect.</w:t>
                            </w:r>
                            <w:r w:rsidRPr="00061823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t>Breakthrough profiles are for lysozyme loaded on SP Sepharose FF at  ~10 μg/ml</w:t>
                            </w:r>
                            <w:r w:rsidR="00242027"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7002"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at </w:t>
                            </w:r>
                            <w:r w:rsidR="00242027"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pH 7.0. Solid lines are experimental data, and dashed lines are from corresponding simulations. Simulation results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uto"/>
                                  <w:sz w:val="20"/>
                                  <w:szCs w:val="20"/>
                                </w:rPr>
                                <m:t>Pé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auto"/>
                                  <w:sz w:val="20"/>
                                  <w:szCs w:val="20"/>
                                </w:rPr>
                                <m:t>=516</m:t>
                              </m:r>
                            </m:oMath>
                            <w:r w:rsidR="00061823"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1823">
                              <w:rPr>
                                <w:color w:val="auto"/>
                                <w:sz w:val="20"/>
                                <w:szCs w:val="20"/>
                              </w:rPr>
                              <w:t>are not shown due to inaccuracies in modeling extra-column effects at low flow rates.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DE07" id="Text Box 3" o:spid="_x0000_s1027" type="#_x0000_t202" style="position:absolute;left:0;text-align:left;margin-left:0;margin-top:100.9pt;width:285.75pt;height:74.25pt;z-index:-25162956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iUMQIAAGcEAAAOAAAAZHJzL2Uyb0RvYy54bWysVE1v2zAMvQ/YfxB0X5yPtWuMOEWWIsOA&#10;oC2QDD0rshQLkEVNUmJnv36UbKdbt9Owi0yRFKX3HunFfVtrchbOKzAFnYzGlAjDoVTmWNBv+82H&#10;O0p8YKZkGowo6EV4er98/27R2FxMoQJdCkewiPF5YwtahWDzLPO8EjXzI7DCYFCCq1nArTtmpWMN&#10;Vq91Nh2Pb7MGXGkdcOE9eh+6IF2m+lIKHp6k9CIQXVB8W0irS+shrtlywfKjY7ZSvH8G+4dX1EwZ&#10;vPRa6oEFRk5O/VGqVtyBBxlGHOoMpFRcJAyIZjJ+g2ZXMSsSFiTH2ytN/v+V5Y/nZ0dUWdAZJYbV&#10;KNFetIF8hpbMIjuN9Tkm7SymhRbdqPLg9+iMoFvp6vhFOATjyPPlym0sxtE5u53Ox9MbSjjG5h+n&#10;8083sUz2eto6H74IqEk0CupQu0QpO2996FKHlHiZB63KjdI6bmJgrR05M9S5qVQQffHfsrSJuQbi&#10;qa5g9GQRYgclWqE9tImQK8wDlBdE76DrHm/5RuF9W+bDM3PYLggYRyA84SI1NAWF3qKkAvfjb/6Y&#10;jypilJIG26+g/vuJOUGJ/mpQ39irg+EG4zAY5lSvAZFOcLgsTyYecEEPpnRQv+BkrOItGGKG410F&#10;DYO5Dt0Q4GRxsVqlJOxIy8LW7CyPpQde9+0Lc7ZXJaCejzA0JsvfiNPldiyvTgGkSspFXjsWe7qx&#10;m5P2/eTFcfl1n7Je/w/LnwAAAP//AwBQSwMEFAAGAAgAAAAhAH4XVyreAAAACAEAAA8AAABkcnMv&#10;ZG93bnJldi54bWxMj8FOwzAQRO9I/IO1SFwQdZIqBYU4FbRwg0NL1fM2NklEvI5sp0n/nuUEx9Ws&#10;Zt4r17Ptxdn40DlSkC4SEIZqpztqFBw+3+4fQYSIpLF3ZBRcTIB1dX1VYqHdRDtz3sdGcAmFAhW0&#10;MQ6FlKFujcWwcIMhzr6ctxj59I3UHicut73MkmQlLXbECy0OZtOa+ns/WgWrrR+nHW3utofXd/wY&#10;muz4cjkqdXszPz+BiGaOf8/wi8/oUDHTyY2kg+gVsEhUkCUpC3CcP6Q5iJOCZZ4sQVal/C9Q/QAA&#10;AP//AwBQSwECLQAUAAYACAAAACEAtoM4kv4AAADhAQAAEwAAAAAAAAAAAAAAAAAAAAAAW0NvbnRl&#10;bnRfVHlwZXNdLnhtbFBLAQItABQABgAIAAAAIQA4/SH/1gAAAJQBAAALAAAAAAAAAAAAAAAAAC8B&#10;AABfcmVscy8ucmVsc1BLAQItABQABgAIAAAAIQDPAFiUMQIAAGcEAAAOAAAAAAAAAAAAAAAAAC4C&#10;AABkcnMvZTJvRG9jLnhtbFBLAQItABQABgAIAAAAIQB+F1cq3gAAAAgBAAAPAAAAAAAAAAAAAAAA&#10;AIsEAABkcnMvZG93bnJldi54bWxQSwUGAAAAAAQABADzAAAAlgUAAAAA&#10;" stroked="f">
                <v:textbox inset="0,0,0,0">
                  <w:txbxContent>
                    <w:p w14:paraId="2F670A1A" w14:textId="4CBF08E6" w:rsidR="00673F3E" w:rsidRPr="00061823" w:rsidRDefault="00673F3E" w:rsidP="00673F3E">
                      <w:pPr>
                        <w:pStyle w:val="Caption"/>
                        <w:jc w:val="both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4" w:name="_Ref78273848"/>
                      <w:r w:rsidRPr="00061823">
                        <w:rPr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061823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61823">
                        <w:rPr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61823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B278E3">
                        <w:rPr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061823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bookmarkEnd w:id="4"/>
                      <w:r w:rsidRPr="00061823">
                        <w:rPr>
                          <w:color w:val="auto"/>
                          <w:sz w:val="20"/>
                          <w:szCs w:val="20"/>
                        </w:rPr>
                        <w:t>. Experimental validation of the particle Péclet number effect.</w:t>
                      </w:r>
                      <w:r w:rsidRPr="00061823">
                        <w:rPr>
                          <w:color w:val="auto"/>
                        </w:rPr>
                        <w:t xml:space="preserve"> </w:t>
                      </w:r>
                      <w:r w:rsidRPr="00061823">
                        <w:rPr>
                          <w:color w:val="auto"/>
                          <w:sz w:val="20"/>
                          <w:szCs w:val="20"/>
                        </w:rPr>
                        <w:t>Breakthrough profiles are for lysozyme loaded on SP Sepharose FF at  ~10 μg/ml</w:t>
                      </w:r>
                      <w:r w:rsidR="00242027" w:rsidRPr="00061823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387002" w:rsidRPr="00061823">
                        <w:rPr>
                          <w:color w:val="auto"/>
                          <w:sz w:val="20"/>
                          <w:szCs w:val="20"/>
                        </w:rPr>
                        <w:t xml:space="preserve">at </w:t>
                      </w:r>
                      <w:r w:rsidR="00242027" w:rsidRPr="00061823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061823">
                        <w:rPr>
                          <w:color w:val="auto"/>
                          <w:sz w:val="20"/>
                          <w:szCs w:val="20"/>
                        </w:rPr>
                        <w:t xml:space="preserve">pH 7.0. Solid lines are experimental data, and dashed lines are from corresponding simulations. Simulation results for </w:t>
                      </w:r>
                      <m:oMath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Pé</m:t>
                        </m:r>
                        <m:r>
                          <w:rPr>
                            <w:rFonts w:ascii="Cambria Math" w:eastAsiaTheme="minorEastAsia" w:hAnsi="Cambria Math"/>
                            <w:color w:val="auto"/>
                            <w:sz w:val="20"/>
                            <w:szCs w:val="20"/>
                          </w:rPr>
                          <m:t>=516</m:t>
                        </m:r>
                      </m:oMath>
                      <w:r w:rsidR="00061823" w:rsidRPr="00061823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061823">
                        <w:rPr>
                          <w:color w:val="auto"/>
                          <w:sz w:val="20"/>
                          <w:szCs w:val="20"/>
                        </w:rPr>
                        <w:t>are not shown due to inaccuracies in modeling extra-column effects at low flow rates.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6C05">
        <w:rPr>
          <w:sz w:val="20"/>
          <w:szCs w:val="20"/>
        </w:rPr>
        <w:tab/>
      </w:r>
      <w:r w:rsidR="00CC5514">
        <w:rPr>
          <w:sz w:val="20"/>
          <w:szCs w:val="20"/>
        </w:rPr>
        <w:t xml:space="preserve">Correlation of simulation results </w:t>
      </w:r>
      <w:r w:rsidR="006E5EBE">
        <w:rPr>
          <w:sz w:val="20"/>
          <w:szCs w:val="20"/>
        </w:rPr>
        <w:t>showed</w:t>
      </w:r>
      <w:r w:rsidR="00CC5514">
        <w:rPr>
          <w:sz w:val="20"/>
          <w:szCs w:val="20"/>
        </w:rPr>
        <w:t xml:space="preserve"> </w:t>
      </w:r>
      <w:r w:rsidR="00146A3E" w:rsidRPr="001F41F7">
        <w:rPr>
          <w:sz w:val="20"/>
          <w:szCs w:val="20"/>
        </w:rPr>
        <w:t>t</w:t>
      </w:r>
      <w:r w:rsidR="00A64463" w:rsidRPr="001F41F7">
        <w:rPr>
          <w:sz w:val="20"/>
          <w:szCs w:val="20"/>
        </w:rPr>
        <w:t xml:space="preserve">ransport contributions </w:t>
      </w:r>
      <w:r w:rsidR="00CC5514">
        <w:rPr>
          <w:sz w:val="20"/>
          <w:szCs w:val="20"/>
        </w:rPr>
        <w:t xml:space="preserve">to the initial breakthrough volume </w:t>
      </w:r>
      <w:r w:rsidR="006E5EBE">
        <w:rPr>
          <w:sz w:val="20"/>
          <w:szCs w:val="20"/>
        </w:rPr>
        <w:t>were</w:t>
      </w:r>
      <w:r w:rsidR="00A64463" w:rsidRPr="001F41F7">
        <w:rPr>
          <w:sz w:val="20"/>
          <w:szCs w:val="20"/>
        </w:rPr>
        <w:t xml:space="preserve"> generalizable with the particle Péclet number</w:t>
      </w:r>
      <w:r w:rsidR="00D47874">
        <w:rPr>
          <w:sz w:val="20"/>
          <w:szCs w:val="20"/>
        </w:rPr>
        <w:t xml:space="preserve"> </w:t>
      </w:r>
      <w:r w:rsidR="00D47874" w:rsidRPr="001F41F7">
        <w:rPr>
          <w:sz w:val="20"/>
          <w:szCs w:val="20"/>
        </w:rPr>
        <w:t>(</w:t>
      </w:r>
      <w:r w:rsidR="00D47874">
        <w:rPr>
          <w:sz w:val="20"/>
          <w:szCs w:val="20"/>
        </w:rPr>
        <w:fldChar w:fldCharType="begin"/>
      </w:r>
      <w:r w:rsidR="00D47874">
        <w:rPr>
          <w:sz w:val="20"/>
          <w:szCs w:val="20"/>
        </w:rPr>
        <w:instrText xml:space="preserve"> REF _Ref78273831 \h </w:instrText>
      </w:r>
      <w:r w:rsidR="00D47874">
        <w:rPr>
          <w:sz w:val="20"/>
          <w:szCs w:val="20"/>
        </w:rPr>
      </w:r>
      <w:r w:rsidR="00D47874">
        <w:rPr>
          <w:sz w:val="20"/>
          <w:szCs w:val="20"/>
        </w:rPr>
        <w:fldChar w:fldCharType="separate"/>
      </w:r>
      <w:r w:rsidR="00B278E3" w:rsidRPr="00E47C1C">
        <w:rPr>
          <w:sz w:val="20"/>
          <w:szCs w:val="20"/>
        </w:rPr>
        <w:t xml:space="preserve">Figure </w:t>
      </w:r>
      <w:r w:rsidR="00B278E3">
        <w:rPr>
          <w:noProof/>
          <w:sz w:val="20"/>
          <w:szCs w:val="20"/>
        </w:rPr>
        <w:t>1</w:t>
      </w:r>
      <w:r w:rsidR="00D47874">
        <w:rPr>
          <w:sz w:val="20"/>
          <w:szCs w:val="20"/>
        </w:rPr>
        <w:fldChar w:fldCharType="end"/>
      </w:r>
      <w:r w:rsidR="00D47874" w:rsidRPr="001F41F7">
        <w:rPr>
          <w:sz w:val="20"/>
          <w:szCs w:val="20"/>
        </w:rPr>
        <w:t>)</w:t>
      </w:r>
      <w:r w:rsidR="00527C67" w:rsidRPr="001F41F7">
        <w:rPr>
          <w:sz w:val="20"/>
          <w:szCs w:val="20"/>
        </w:rPr>
        <w:t xml:space="preserve">. </w:t>
      </w:r>
      <w:r w:rsidR="00355C1A" w:rsidRPr="001F41F7">
        <w:rPr>
          <w:sz w:val="20"/>
          <w:szCs w:val="20"/>
        </w:rPr>
        <w:t>The</w:t>
      </w:r>
      <w:r w:rsidR="003E5A6E" w:rsidRPr="001F41F7">
        <w:rPr>
          <w:sz w:val="20"/>
          <w:szCs w:val="20"/>
        </w:rPr>
        <w:t xml:space="preserve"> generalization suggests a nonlinear increase in</w:t>
      </w:r>
      <w:r w:rsidR="00355C1A" w:rsidRPr="001F41F7">
        <w:rPr>
          <w:sz w:val="20"/>
          <w:szCs w:val="20"/>
        </w:rPr>
        <w:t xml:space="preserve"> the initial breakthrough volume</w:t>
      </w:r>
      <w:r w:rsidR="003E5A6E" w:rsidRPr="001F41F7">
        <w:rPr>
          <w:sz w:val="20"/>
          <w:szCs w:val="20"/>
        </w:rPr>
        <w:t xml:space="preserve"> as the particle Péclet number is decreased. </w:t>
      </w:r>
      <w:r w:rsidR="00355C1A" w:rsidRPr="001F41F7">
        <w:rPr>
          <w:sz w:val="20"/>
          <w:szCs w:val="20"/>
        </w:rPr>
        <w:t xml:space="preserve">This provides a quantitative </w:t>
      </w:r>
      <w:r w:rsidR="0022506B" w:rsidRPr="001F41F7">
        <w:rPr>
          <w:sz w:val="20"/>
          <w:szCs w:val="20"/>
        </w:rPr>
        <w:t>description</w:t>
      </w:r>
      <w:r w:rsidR="00355C1A" w:rsidRPr="001F41F7">
        <w:rPr>
          <w:sz w:val="20"/>
          <w:szCs w:val="20"/>
        </w:rPr>
        <w:t xml:space="preserve"> of the inherent balance between </w:t>
      </w:r>
      <w:r w:rsidR="003D493A" w:rsidRPr="003D493A">
        <w:rPr>
          <w:sz w:val="20"/>
          <w:szCs w:val="20"/>
        </w:rPr>
        <w:t xml:space="preserve"> </w:t>
      </w:r>
      <w:r w:rsidR="00355C1A" w:rsidRPr="001F41F7">
        <w:rPr>
          <w:sz w:val="20"/>
          <w:szCs w:val="20"/>
        </w:rPr>
        <w:t xml:space="preserve">separation performance and </w:t>
      </w:r>
      <w:r w:rsidR="00EF0EB9" w:rsidRPr="001F41F7">
        <w:rPr>
          <w:sz w:val="20"/>
          <w:szCs w:val="20"/>
        </w:rPr>
        <w:t>productivity</w:t>
      </w:r>
      <w:r w:rsidR="00355C1A" w:rsidRPr="001F41F7">
        <w:rPr>
          <w:sz w:val="20"/>
          <w:szCs w:val="20"/>
        </w:rPr>
        <w:t xml:space="preserve">. </w:t>
      </w:r>
      <w:r w:rsidR="008E5C7D" w:rsidRPr="001F41F7">
        <w:rPr>
          <w:sz w:val="20"/>
          <w:szCs w:val="20"/>
        </w:rPr>
        <w:t xml:space="preserve">The </w:t>
      </w:r>
      <w:r w:rsidR="00CC320F" w:rsidRPr="001F41F7">
        <w:rPr>
          <w:sz w:val="20"/>
          <w:szCs w:val="20"/>
        </w:rPr>
        <w:t xml:space="preserve">effect of </w:t>
      </w:r>
      <w:r w:rsidR="008E5C7D" w:rsidRPr="001F41F7">
        <w:rPr>
          <w:sz w:val="20"/>
          <w:szCs w:val="20"/>
        </w:rPr>
        <w:t xml:space="preserve">particle Péclet number </w:t>
      </w:r>
      <w:r w:rsidR="00171E41">
        <w:rPr>
          <w:sz w:val="20"/>
          <w:szCs w:val="20"/>
        </w:rPr>
        <w:t>was</w:t>
      </w:r>
      <w:r w:rsidR="00355C1A" w:rsidRPr="001F41F7">
        <w:rPr>
          <w:sz w:val="20"/>
          <w:szCs w:val="20"/>
        </w:rPr>
        <w:t xml:space="preserve"> </w:t>
      </w:r>
      <w:r w:rsidR="005E689C" w:rsidRPr="001F41F7">
        <w:rPr>
          <w:sz w:val="20"/>
          <w:szCs w:val="20"/>
        </w:rPr>
        <w:t xml:space="preserve">then </w:t>
      </w:r>
      <w:r w:rsidR="00355C1A" w:rsidRPr="001F41F7">
        <w:rPr>
          <w:sz w:val="20"/>
          <w:szCs w:val="20"/>
        </w:rPr>
        <w:t xml:space="preserve">validated </w:t>
      </w:r>
      <w:r w:rsidR="00171E41">
        <w:rPr>
          <w:sz w:val="20"/>
          <w:szCs w:val="20"/>
        </w:rPr>
        <w:t>using</w:t>
      </w:r>
      <w:r w:rsidR="002950CB" w:rsidRPr="001F41F7">
        <w:rPr>
          <w:sz w:val="20"/>
          <w:szCs w:val="20"/>
        </w:rPr>
        <w:t xml:space="preserve"> breakthrough experiments of lysozyme on SP Sepharose FF at the dilute</w:t>
      </w:r>
      <w:r w:rsidR="00E23605" w:rsidRPr="001F41F7">
        <w:rPr>
          <w:sz w:val="20"/>
          <w:szCs w:val="20"/>
        </w:rPr>
        <w:t xml:space="preserve"> load</w:t>
      </w:r>
      <w:r w:rsidR="002950CB" w:rsidRPr="001F41F7">
        <w:rPr>
          <w:sz w:val="20"/>
          <w:szCs w:val="20"/>
        </w:rPr>
        <w:t xml:space="preserve"> concentration of ~10 μg/ml</w:t>
      </w:r>
      <w:r w:rsidR="00B76C1A" w:rsidRPr="001F41F7">
        <w:rPr>
          <w:sz w:val="20"/>
          <w:szCs w:val="20"/>
        </w:rPr>
        <w:t xml:space="preserve"> (</w:t>
      </w:r>
      <w:r w:rsidR="00FB2B35">
        <w:rPr>
          <w:sz w:val="20"/>
          <w:szCs w:val="20"/>
        </w:rPr>
        <w:fldChar w:fldCharType="begin"/>
      </w:r>
      <w:r w:rsidR="00FB2B35">
        <w:rPr>
          <w:sz w:val="20"/>
          <w:szCs w:val="20"/>
        </w:rPr>
        <w:instrText xml:space="preserve"> REF _Ref78273848 \h </w:instrText>
      </w:r>
      <w:r w:rsidR="00FB2B35">
        <w:rPr>
          <w:sz w:val="20"/>
          <w:szCs w:val="20"/>
        </w:rPr>
      </w:r>
      <w:r w:rsidR="00FB2B35">
        <w:rPr>
          <w:sz w:val="20"/>
          <w:szCs w:val="20"/>
        </w:rPr>
        <w:fldChar w:fldCharType="separate"/>
      </w:r>
      <w:r w:rsidR="00B278E3" w:rsidRPr="00061823">
        <w:rPr>
          <w:sz w:val="20"/>
          <w:szCs w:val="20"/>
        </w:rPr>
        <w:t xml:space="preserve">Figure </w:t>
      </w:r>
      <w:r w:rsidR="00B278E3">
        <w:rPr>
          <w:noProof/>
          <w:sz w:val="20"/>
          <w:szCs w:val="20"/>
        </w:rPr>
        <w:t>2</w:t>
      </w:r>
      <w:r w:rsidR="00FB2B35">
        <w:rPr>
          <w:sz w:val="20"/>
          <w:szCs w:val="20"/>
        </w:rPr>
        <w:fldChar w:fldCharType="end"/>
      </w:r>
      <w:r w:rsidR="00B76C1A" w:rsidRPr="001F41F7">
        <w:rPr>
          <w:sz w:val="20"/>
          <w:szCs w:val="20"/>
        </w:rPr>
        <w:t>)</w:t>
      </w:r>
      <w:r w:rsidR="00171E41">
        <w:rPr>
          <w:sz w:val="20"/>
          <w:szCs w:val="20"/>
        </w:rPr>
        <w:t xml:space="preserve">, for which </w:t>
      </w:r>
      <w:r w:rsidR="00E405C2">
        <w:rPr>
          <w:sz w:val="20"/>
          <w:szCs w:val="20"/>
        </w:rPr>
        <w:t xml:space="preserve">good </w:t>
      </w:r>
      <w:r w:rsidR="00171E41">
        <w:rPr>
          <w:sz w:val="20"/>
          <w:szCs w:val="20"/>
        </w:rPr>
        <w:t>quantitative agreement was obtained with c</w:t>
      </w:r>
      <w:r w:rsidR="008E5C7D" w:rsidRPr="001F41F7">
        <w:rPr>
          <w:sz w:val="20"/>
          <w:szCs w:val="20"/>
        </w:rPr>
        <w:t xml:space="preserve">orresponding column simulations. </w:t>
      </w:r>
      <w:r w:rsidR="006864FF" w:rsidRPr="001F41F7">
        <w:rPr>
          <w:sz w:val="20"/>
          <w:szCs w:val="20"/>
        </w:rPr>
        <w:t xml:space="preserve">To </w:t>
      </w:r>
      <w:r w:rsidR="00852107" w:rsidRPr="001F41F7">
        <w:rPr>
          <w:sz w:val="20"/>
          <w:szCs w:val="20"/>
        </w:rPr>
        <w:t>more accurately</w:t>
      </w:r>
      <w:r w:rsidR="009E4A79" w:rsidRPr="001F41F7">
        <w:rPr>
          <w:sz w:val="20"/>
          <w:szCs w:val="20"/>
        </w:rPr>
        <w:t xml:space="preserve"> </w:t>
      </w:r>
      <w:r w:rsidR="00852107" w:rsidRPr="001F41F7">
        <w:rPr>
          <w:sz w:val="20"/>
          <w:szCs w:val="20"/>
        </w:rPr>
        <w:t xml:space="preserve">model </w:t>
      </w:r>
      <w:r w:rsidR="006864FF" w:rsidRPr="001F41F7">
        <w:rPr>
          <w:sz w:val="20"/>
          <w:szCs w:val="20"/>
        </w:rPr>
        <w:t xml:space="preserve">process conditions, the particle Péclet number effect </w:t>
      </w:r>
      <w:r w:rsidR="00171E41">
        <w:rPr>
          <w:sz w:val="20"/>
          <w:szCs w:val="20"/>
        </w:rPr>
        <w:t>was</w:t>
      </w:r>
      <w:r w:rsidR="006864FF" w:rsidRPr="001F41F7">
        <w:rPr>
          <w:sz w:val="20"/>
          <w:szCs w:val="20"/>
        </w:rPr>
        <w:t xml:space="preserve"> also </w:t>
      </w:r>
      <w:r w:rsidR="00FB0A93">
        <w:rPr>
          <w:sz w:val="20"/>
          <w:szCs w:val="20"/>
        </w:rPr>
        <w:t>validated</w:t>
      </w:r>
      <w:r w:rsidR="006864FF" w:rsidRPr="001F41F7">
        <w:rPr>
          <w:sz w:val="20"/>
          <w:szCs w:val="20"/>
        </w:rPr>
        <w:t xml:space="preserve"> with </w:t>
      </w:r>
      <w:r w:rsidR="00171E41">
        <w:rPr>
          <w:sz w:val="20"/>
          <w:szCs w:val="20"/>
        </w:rPr>
        <w:t>fluorescently</w:t>
      </w:r>
      <w:r w:rsidR="006F0291">
        <w:rPr>
          <w:sz w:val="20"/>
          <w:szCs w:val="20"/>
        </w:rPr>
        <w:t>-</w:t>
      </w:r>
      <w:r w:rsidR="00171E41">
        <w:rPr>
          <w:sz w:val="20"/>
          <w:szCs w:val="20"/>
        </w:rPr>
        <w:t xml:space="preserve">labelled </w:t>
      </w:r>
      <w:r w:rsidR="006864FF" w:rsidRPr="001F41F7">
        <w:rPr>
          <w:sz w:val="20"/>
          <w:szCs w:val="20"/>
        </w:rPr>
        <w:t xml:space="preserve">lysozyme in the presence of a nonadsorbing mAb. </w:t>
      </w:r>
    </w:p>
    <w:p w14:paraId="7D7AC8A7" w14:textId="30003305" w:rsidR="00031C32" w:rsidRDefault="000C25C2" w:rsidP="00031C32">
      <w:pPr>
        <w:ind w:firstLine="720"/>
        <w:jc w:val="both"/>
        <w:rPr>
          <w:sz w:val="20"/>
          <w:szCs w:val="20"/>
        </w:rPr>
      </w:pPr>
      <w:r w:rsidRPr="00031C32">
        <w:rPr>
          <w:noProof/>
          <w:sz w:val="20"/>
          <w:szCs w:val="20"/>
        </w:rPr>
        <w:drawing>
          <wp:anchor distT="0" distB="0" distL="114300" distR="114300" simplePos="0" relativeHeight="251667455" behindDoc="1" locked="0" layoutInCell="1" allowOverlap="1" wp14:anchorId="41EA3933" wp14:editId="13495581">
            <wp:simplePos x="0" y="0"/>
            <wp:positionH relativeFrom="margin">
              <wp:posOffset>2867025</wp:posOffset>
            </wp:positionH>
            <wp:positionV relativeFrom="paragraph">
              <wp:posOffset>621030</wp:posOffset>
            </wp:positionV>
            <wp:extent cx="3209925" cy="2291715"/>
            <wp:effectExtent l="0" t="0" r="9525" b="0"/>
            <wp:wrapTight wrapText="bothSides">
              <wp:wrapPolygon edited="0">
                <wp:start x="0" y="0"/>
                <wp:lineTo x="0" y="21367"/>
                <wp:lineTo x="21536" y="21367"/>
                <wp:lineTo x="21536" y="0"/>
                <wp:lineTo x="0" y="0"/>
              </wp:wrapPolygon>
            </wp:wrapTight>
            <wp:docPr id="6" name="Picture 6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A8E80E-AF45-4AAC-A909-A6BC84BDB0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2FA8E80E-AF45-4AAC-A909-A6BC84BDB0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E41">
        <w:rPr>
          <w:sz w:val="20"/>
          <w:szCs w:val="20"/>
        </w:rPr>
        <w:t>The t</w:t>
      </w:r>
      <w:r w:rsidR="00F02047" w:rsidRPr="001F41F7">
        <w:rPr>
          <w:sz w:val="20"/>
          <w:szCs w:val="20"/>
        </w:rPr>
        <w:t>hermodynamic properties of</w:t>
      </w:r>
      <w:r w:rsidR="00D16CA1" w:rsidRPr="001F41F7">
        <w:rPr>
          <w:sz w:val="20"/>
          <w:szCs w:val="20"/>
        </w:rPr>
        <w:t xml:space="preserve"> </w:t>
      </w:r>
      <w:r w:rsidR="00CF3940" w:rsidRPr="001F41F7">
        <w:rPr>
          <w:sz w:val="20"/>
          <w:szCs w:val="20"/>
        </w:rPr>
        <w:t>weakly-adsorbing</w:t>
      </w:r>
      <w:r w:rsidR="00D16CA1" w:rsidRPr="001F41F7">
        <w:rPr>
          <w:sz w:val="20"/>
          <w:szCs w:val="20"/>
        </w:rPr>
        <w:t xml:space="preserve"> HCPs </w:t>
      </w:r>
      <w:r w:rsidR="00F02047" w:rsidRPr="001F41F7">
        <w:rPr>
          <w:sz w:val="20"/>
          <w:szCs w:val="20"/>
        </w:rPr>
        <w:t>are</w:t>
      </w:r>
      <w:r w:rsidR="00D16CA1" w:rsidRPr="001F41F7">
        <w:rPr>
          <w:sz w:val="20"/>
          <w:szCs w:val="20"/>
        </w:rPr>
        <w:t xml:space="preserve"> often unknown, but </w:t>
      </w:r>
      <w:r w:rsidR="005C2251">
        <w:rPr>
          <w:sz w:val="20"/>
          <w:szCs w:val="20"/>
        </w:rPr>
        <w:t xml:space="preserve">correlations for HCP adsorption </w:t>
      </w:r>
      <w:r w:rsidR="006E5EBE">
        <w:rPr>
          <w:sz w:val="20"/>
          <w:szCs w:val="20"/>
        </w:rPr>
        <w:t>equilibria</w:t>
      </w:r>
      <w:r w:rsidR="005C2251">
        <w:rPr>
          <w:sz w:val="20"/>
          <w:szCs w:val="20"/>
        </w:rPr>
        <w:t xml:space="preserve"> </w:t>
      </w:r>
      <w:r w:rsidR="00D16CA1" w:rsidRPr="001F41F7">
        <w:rPr>
          <w:sz w:val="20"/>
          <w:szCs w:val="20"/>
        </w:rPr>
        <w:t xml:space="preserve">could be useful in estimating </w:t>
      </w:r>
      <w:r w:rsidR="00CD3436">
        <w:rPr>
          <w:sz w:val="20"/>
          <w:szCs w:val="20"/>
        </w:rPr>
        <w:t>breakthrough volumes</w:t>
      </w:r>
      <w:r w:rsidR="00007645">
        <w:rPr>
          <w:sz w:val="20"/>
          <w:szCs w:val="20"/>
        </w:rPr>
        <w:t xml:space="preserve"> </w:t>
      </w:r>
      <w:r w:rsidR="00E405C2">
        <w:rPr>
          <w:sz w:val="20"/>
          <w:szCs w:val="20"/>
        </w:rPr>
        <w:t xml:space="preserve">using </w:t>
      </w:r>
      <w:r w:rsidR="00007645">
        <w:rPr>
          <w:sz w:val="20"/>
          <w:szCs w:val="20"/>
        </w:rPr>
        <w:t>eq. 1</w:t>
      </w:r>
      <w:r w:rsidR="00D16CA1" w:rsidRPr="001F41F7">
        <w:rPr>
          <w:sz w:val="20"/>
          <w:szCs w:val="20"/>
        </w:rPr>
        <w:t xml:space="preserve">. </w:t>
      </w:r>
      <w:r w:rsidR="00BC5EC1" w:rsidRPr="001F41F7">
        <w:rPr>
          <w:sz w:val="20"/>
          <w:szCs w:val="20"/>
        </w:rPr>
        <w:t>As shown in the extant literature, adsorption equilibrium constants</w:t>
      </w:r>
      <w:r w:rsidR="00E405C2">
        <w:rPr>
          <w:sz w:val="20"/>
          <w:szCs w:val="20"/>
        </w:rPr>
        <w:t xml:space="preserve"> in </w:t>
      </w:r>
      <w:r w:rsidR="007A16CC">
        <w:rPr>
          <w:sz w:val="20"/>
          <w:szCs w:val="20"/>
        </w:rPr>
        <w:t>IEX</w:t>
      </w:r>
      <w:r w:rsidR="00BC5EC1" w:rsidRPr="001F41F7">
        <w:rPr>
          <w:sz w:val="20"/>
          <w:szCs w:val="20"/>
        </w:rPr>
        <w:t xml:space="preserve"> approximately follow a power-law in ionic strength</w:t>
      </w:r>
      <w:r w:rsidR="00031C32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IS</m:t>
        </m:r>
      </m:oMath>
      <w:r w:rsidR="00031C32">
        <w:rPr>
          <w:sz w:val="20"/>
          <w:szCs w:val="20"/>
        </w:rPr>
        <w:t>:</w:t>
      </w:r>
    </w:p>
    <w:tbl>
      <w:tblPr>
        <w:tblStyle w:val="TableGrid"/>
        <w:tblpPr w:leftFromText="180" w:rightFromText="180" w:vertAnchor="text" w:horzAnchor="margin" w:tblpY="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36"/>
      </w:tblGrid>
      <w:tr w:rsidR="00031C32" w:rsidRPr="00186B0F" w14:paraId="03D97278" w14:textId="77777777" w:rsidTr="00007645">
        <w:trPr>
          <w:trHeight w:val="314"/>
        </w:trPr>
        <w:tc>
          <w:tcPr>
            <w:tcW w:w="3652" w:type="dxa"/>
            <w:shd w:val="clear" w:color="auto" w:fill="auto"/>
          </w:tcPr>
          <w:p w14:paraId="42220BF1" w14:textId="3D078D1F" w:rsidR="00031C32" w:rsidRPr="00031C32" w:rsidRDefault="00B71C96" w:rsidP="00031C32">
            <w:pPr>
              <w:jc w:val="center"/>
              <w:rPr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eq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536" w:type="dxa"/>
            <w:shd w:val="clear" w:color="auto" w:fill="auto"/>
            <w:vAlign w:val="bottom"/>
          </w:tcPr>
          <w:p w14:paraId="2F30F2A5" w14:textId="76B3DAB2" w:rsidR="00031C32" w:rsidRPr="00186B0F" w:rsidRDefault="00031C32" w:rsidP="00031C32">
            <w:pPr>
              <w:spacing w:after="120"/>
              <w:jc w:val="center"/>
              <w:rPr>
                <w:rFonts w:cs="Arial"/>
                <w:sz w:val="20"/>
                <w:szCs w:val="20"/>
              </w:rPr>
            </w:pPr>
            <w:r w:rsidRPr="00186B0F">
              <w:rPr>
                <w:rFonts w:cs="Arial"/>
                <w:sz w:val="20"/>
                <w:szCs w:val="20"/>
              </w:rPr>
              <w:t>(</w:t>
            </w:r>
            <w:r w:rsidRPr="00186B0F">
              <w:rPr>
                <w:sz w:val="20"/>
                <w:szCs w:val="20"/>
              </w:rPr>
              <w:fldChar w:fldCharType="begin"/>
            </w:r>
            <w:r w:rsidRPr="000B3DA8">
              <w:rPr>
                <w:rFonts w:cs="Arial"/>
                <w:sz w:val="20"/>
                <w:szCs w:val="20"/>
              </w:rPr>
              <w:instrText xml:space="preserve"> SEQ ( \* ARABIC </w:instrText>
            </w:r>
            <w:r w:rsidRPr="00186B0F">
              <w:rPr>
                <w:sz w:val="20"/>
                <w:szCs w:val="20"/>
              </w:rPr>
              <w:fldChar w:fldCharType="separate"/>
            </w:r>
            <w:r w:rsidR="00B278E3">
              <w:rPr>
                <w:rFonts w:cs="Arial"/>
                <w:noProof/>
                <w:sz w:val="20"/>
                <w:szCs w:val="20"/>
              </w:rPr>
              <w:t>2</w:t>
            </w:r>
            <w:r w:rsidRPr="00186B0F">
              <w:rPr>
                <w:sz w:val="20"/>
                <w:szCs w:val="20"/>
              </w:rPr>
              <w:fldChar w:fldCharType="end"/>
            </w:r>
            <w:r w:rsidRPr="00186B0F">
              <w:rPr>
                <w:rFonts w:cs="Arial"/>
                <w:sz w:val="20"/>
                <w:szCs w:val="20"/>
              </w:rPr>
              <w:t>)</w:t>
            </w:r>
          </w:p>
        </w:tc>
      </w:tr>
    </w:tbl>
    <w:p w14:paraId="7307551B" w14:textId="6331BA1D" w:rsidR="005C2251" w:rsidRDefault="006E5EBE" w:rsidP="00031C32">
      <w:pPr>
        <w:jc w:val="both"/>
        <w:rPr>
          <w:sz w:val="20"/>
          <w:szCs w:val="20"/>
        </w:rPr>
      </w:pPr>
      <w:r>
        <w:rPr>
          <w:sz w:val="20"/>
          <w:szCs w:val="20"/>
        </w:rPr>
        <w:t>Here, t</w:t>
      </w:r>
      <w:r w:rsidR="00BC5EC1" w:rsidRPr="001F41F7">
        <w:rPr>
          <w:sz w:val="20"/>
          <w:szCs w:val="20"/>
        </w:rPr>
        <w:t xml:space="preserve">he parameters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031C32" w:rsidRPr="001F41F7">
        <w:rPr>
          <w:sz w:val="20"/>
          <w:szCs w:val="20"/>
        </w:rPr>
        <w:t xml:space="preserve"> </w:t>
      </w:r>
      <w:r w:rsidR="00031C32">
        <w:rPr>
          <w:sz w:val="20"/>
          <w:szCs w:val="20"/>
        </w:rPr>
        <w:t xml:space="preserve">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031C32">
        <w:rPr>
          <w:sz w:val="20"/>
          <w:szCs w:val="20"/>
        </w:rPr>
        <w:t xml:space="preserve"> </w:t>
      </w:r>
      <w:r w:rsidR="00BC5EC1" w:rsidRPr="001F41F7">
        <w:rPr>
          <w:sz w:val="20"/>
          <w:szCs w:val="20"/>
        </w:rPr>
        <w:t>are related to adsorption strength and</w:t>
      </w:r>
      <w:r w:rsidR="00E405C2">
        <w:rPr>
          <w:sz w:val="20"/>
          <w:szCs w:val="20"/>
        </w:rPr>
        <w:t xml:space="preserve"> the</w:t>
      </w:r>
      <w:r w:rsidR="00BC5EC1" w:rsidRPr="001F41F7">
        <w:rPr>
          <w:sz w:val="20"/>
          <w:szCs w:val="20"/>
        </w:rPr>
        <w:t xml:space="preserve"> protein </w:t>
      </w:r>
      <w:r w:rsidR="005C2251">
        <w:rPr>
          <w:sz w:val="20"/>
          <w:szCs w:val="20"/>
        </w:rPr>
        <w:t>“</w:t>
      </w:r>
      <w:r w:rsidR="00BC5EC1" w:rsidRPr="001F41F7">
        <w:rPr>
          <w:sz w:val="20"/>
          <w:szCs w:val="20"/>
        </w:rPr>
        <w:t>characteristic charge</w:t>
      </w:r>
      <w:r w:rsidR="005C2251">
        <w:rPr>
          <w:sz w:val="20"/>
          <w:szCs w:val="20"/>
        </w:rPr>
        <w:t>”</w:t>
      </w:r>
      <w:r w:rsidR="00031C32">
        <w:rPr>
          <w:sz w:val="20"/>
          <w:szCs w:val="20"/>
        </w:rPr>
        <w:t>, respectively</w:t>
      </w:r>
      <w:r w:rsidR="00BC5EC1" w:rsidRPr="001F41F7">
        <w:rPr>
          <w:sz w:val="20"/>
          <w:szCs w:val="20"/>
        </w:rPr>
        <w:t xml:space="preserve">. </w:t>
      </w:r>
      <w:r w:rsidR="005C2251">
        <w:rPr>
          <w:sz w:val="20"/>
          <w:szCs w:val="20"/>
        </w:rPr>
        <w:t>To explore possible correlations, equilibrium constants for model proteins on a few IEX resins were measured on-column with isocratic pulse retention times</w:t>
      </w:r>
      <w:r>
        <w:rPr>
          <w:sz w:val="20"/>
          <w:szCs w:val="20"/>
        </w:rPr>
        <w:t xml:space="preserve">. The measured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eq</m:t>
            </m:r>
          </m:sub>
        </m:sSub>
      </m:oMath>
      <w:r w:rsidRPr="001F41F7">
        <w:rPr>
          <w:sz w:val="20"/>
          <w:szCs w:val="20"/>
        </w:rPr>
        <w:t xml:space="preserve"> were regressed </w:t>
      </w:r>
      <w:r>
        <w:rPr>
          <w:sz w:val="20"/>
          <w:szCs w:val="20"/>
        </w:rPr>
        <w:t xml:space="preserve">against ionic strength </w:t>
      </w:r>
      <w:r w:rsidRPr="001F41F7">
        <w:rPr>
          <w:sz w:val="20"/>
          <w:szCs w:val="20"/>
        </w:rPr>
        <w:t>to extract power-law parameters</w:t>
      </w:r>
      <w:r>
        <w:rPr>
          <w:sz w:val="20"/>
          <w:szCs w:val="20"/>
        </w:rPr>
        <w:t xml:space="preserve">, and </w:t>
      </w:r>
      <w:r w:rsidRPr="001F41F7">
        <w:rPr>
          <w:sz w:val="20"/>
          <w:szCs w:val="20"/>
        </w:rPr>
        <w:t xml:space="preserve">a meta-correlation between </w:t>
      </w:r>
      <w:r>
        <w:rPr>
          <w:sz w:val="20"/>
          <w:szCs w:val="20"/>
        </w:rPr>
        <w:t>the two parameters</w:t>
      </w:r>
      <w:r w:rsidRPr="001F41F7">
        <w:rPr>
          <w:sz w:val="20"/>
          <w:szCs w:val="20"/>
        </w:rPr>
        <w:t xml:space="preserve"> was discovered</w:t>
      </w:r>
      <w:r w:rsidR="005C2251">
        <w:rPr>
          <w:sz w:val="20"/>
          <w:szCs w:val="20"/>
        </w:rPr>
        <w:t xml:space="preserve"> (</w:t>
      </w:r>
      <w:r w:rsidR="005C2251">
        <w:rPr>
          <w:sz w:val="20"/>
          <w:szCs w:val="20"/>
        </w:rPr>
        <w:fldChar w:fldCharType="begin"/>
      </w:r>
      <w:r w:rsidR="005C2251">
        <w:rPr>
          <w:sz w:val="20"/>
          <w:szCs w:val="20"/>
        </w:rPr>
        <w:instrText xml:space="preserve"> REF _Ref78280283 \h </w:instrText>
      </w:r>
      <w:r w:rsidR="005C2251">
        <w:rPr>
          <w:sz w:val="20"/>
          <w:szCs w:val="20"/>
        </w:rPr>
      </w:r>
      <w:r w:rsidR="005C2251">
        <w:rPr>
          <w:sz w:val="20"/>
          <w:szCs w:val="20"/>
        </w:rPr>
        <w:fldChar w:fldCharType="separate"/>
      </w:r>
      <w:r w:rsidR="00B278E3" w:rsidRPr="00031C32">
        <w:rPr>
          <w:sz w:val="20"/>
          <w:szCs w:val="20"/>
        </w:rPr>
        <w:t xml:space="preserve">Figure </w:t>
      </w:r>
      <w:r w:rsidR="00B278E3">
        <w:rPr>
          <w:noProof/>
          <w:sz w:val="20"/>
          <w:szCs w:val="20"/>
        </w:rPr>
        <w:t>3</w:t>
      </w:r>
      <w:r w:rsidR="005C2251">
        <w:rPr>
          <w:sz w:val="20"/>
          <w:szCs w:val="20"/>
        </w:rPr>
        <w:fldChar w:fldCharType="end"/>
      </w:r>
      <w:r w:rsidR="005C2251">
        <w:rPr>
          <w:sz w:val="20"/>
          <w:szCs w:val="20"/>
        </w:rPr>
        <w:t>)</w:t>
      </w:r>
      <w:r w:rsidR="005C2251" w:rsidRPr="001F41F7">
        <w:rPr>
          <w:sz w:val="20"/>
          <w:szCs w:val="20"/>
        </w:rPr>
        <w:t>.</w:t>
      </w:r>
    </w:p>
    <w:p w14:paraId="225F338A" w14:textId="54B5D48F" w:rsidR="00922DB2" w:rsidRPr="001F41F7" w:rsidRDefault="006217CF" w:rsidP="00BC5EC1">
      <w:pPr>
        <w:ind w:firstLine="720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92032" behindDoc="1" locked="0" layoutInCell="1" allowOverlap="1" wp14:anchorId="494CC581" wp14:editId="1145E0E9">
                <wp:simplePos x="0" y="0"/>
                <wp:positionH relativeFrom="margin">
                  <wp:posOffset>3048000</wp:posOffset>
                </wp:positionH>
                <wp:positionV relativeFrom="paragraph">
                  <wp:posOffset>295275</wp:posOffset>
                </wp:positionV>
                <wp:extent cx="2876550" cy="838200"/>
                <wp:effectExtent l="0" t="0" r="0" b="0"/>
                <wp:wrapTight wrapText="bothSides">
                  <wp:wrapPolygon edited="0">
                    <wp:start x="0" y="0"/>
                    <wp:lineTo x="0" y="21109"/>
                    <wp:lineTo x="21457" y="21109"/>
                    <wp:lineTo x="21457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838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A74E91" w14:textId="6BDC6D93" w:rsidR="00031C32" w:rsidRPr="00031C32" w:rsidRDefault="00031C32" w:rsidP="00031C32">
                            <w:pPr>
                              <w:pStyle w:val="Caption"/>
                              <w:jc w:val="both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5" w:name="_Ref78280283"/>
                            <w:r w:rsidRPr="00031C32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31C32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31C32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31C32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278E3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031C32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5"/>
                            <w:r w:rsidRPr="00031C32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. Meta-correlation of </w:t>
                            </w:r>
                            <w:r w:rsidR="00490399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031C32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parameters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uto"/>
                                  <w:sz w:val="20"/>
                                  <w:szCs w:val="20"/>
                                </w:rPr>
                                <m:t>a</m:t>
                              </m:r>
                            </m:oMath>
                            <w:r w:rsidRPr="00031C32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auto"/>
                                  <w:sz w:val="20"/>
                                  <w:szCs w:val="20"/>
                                </w:rPr>
                                <m:t>b</m:t>
                              </m:r>
                            </m:oMath>
                            <w:r w:rsidR="00490399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, which </w:t>
                            </w:r>
                            <w:r w:rsidR="008375D8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>are</w:t>
                            </w:r>
                            <w:r w:rsidR="00490399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used to correlate </w:t>
                            </w:r>
                            <w:r w:rsidR="009E72DC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IEX adsorption </w:t>
                            </w:r>
                            <w:r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 xml:space="preserve">equilibrium constants as a function of ionic strength. Parameters were obtained by regressing experimental data for 16 protein-pH-resin </w:t>
                            </w:r>
                            <w:r w:rsidR="00490399"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>systems</w:t>
                            </w:r>
                            <w:r>
                              <w:rPr>
                                <w:rFonts w:eastAsiaTheme="minorEastAsia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C581" id="Text Box 8" o:spid="_x0000_s1028" type="#_x0000_t202" style="position:absolute;left:0;text-align:left;margin-left:240pt;margin-top:23.25pt;width:226.5pt;height:66pt;z-index:-251624448;visibility:visible;mso-wrap-style:square;mso-width-percent:0;mso-height-percent:0;mso-wrap-distance-left:21.6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L/LgIAAGcEAAAOAAAAZHJzL2Uyb0RvYy54bWysVFFv2yAQfp+0/4B4X5xkahdZcaosVaZJ&#10;UVspmfpMMMRIwDEgsbtfvwPb6dbtadoLPu6Og+/77ry864wmF+GDAlvR2WRKibAcamVPFf122H5Y&#10;UBIiszXTYEVFX0Sgd6v375atK8UcGtC18ASL2FC2rqJNjK4sisAbYViYgBMWgxK8YRG3/lTUnrVY&#10;3ehiPp3eFi342nngIgT03vdBusr1pRQ8PkoZRCS6ovi2mFef12Nai9WSlSfPXKP48Az2D68wTFm8&#10;9FrqnkVGzl79Ucoo7iGAjBMOpgApFRcZA6KZTd+g2TfMiYwFyQnuSlP4f2X5w+XJE1VXFIWyzKBE&#10;B9FF8hk6skjstC6UmLR3mBY7dKPKoz+gM4HupDfpi3AIxpHnlyu3qRhH53zx6fbmBkMcY4uPCxQv&#10;lSleTzsf4hcBhiSjoh61y5Syyy7EPnVMSZcF0KreKq3TJgU22pMLQ53bRkUxFP8tS9uUayGd6gsm&#10;T5Eg9lCSFbtjlwmZjzCPUL8geg999wTHtwrv27EQn5jHdkFUOALxERepoa0oDBYlDfgff/OnfFQR&#10;o5S02H4VDd/PzAtK9FeL+qZeHQ0/GsfRsGezAUQ6w+FyPJt4wEc9mtKDecbJWKdbMMQsx7sqGkdz&#10;E/shwMniYr3OSdiRjsWd3TueSo+8Hrpn5t2gSkQ9H2BsTFa+EafP7VlenyNIlZVLvPYsDnRjN2ft&#10;h8lL4/LrPme9/h9WPwEAAP//AwBQSwMEFAAGAAgAAAAhAJA3nzjgAAAACgEAAA8AAABkcnMvZG93&#10;bnJldi54bWxMj0FPwzAMhe9I/IfISFwQS9lYKaXpBBvc4LAx7ew1oa1onCpJ1+7fY05ws/2enr9X&#10;rCbbiZPxoXWk4G6WgDBUOd1SrWD/+XabgQgRSWPnyCg4mwCr8vKiwFy7kbbmtIu14BAKOSpoYuxz&#10;KUPVGIth5npDrH05bzHy6mupPY4cbjs5T5JUWmyJPzTYm3Vjqu/dYBWkGz+MW1rfbPav7/jR1/PD&#10;y/mg1PXV9PwEIpop/pnhF5/RoWSmoxtIB9EpuM8S7hJ5SJcg2PC4WPDhyM6HbAmyLOT/CuUPAAAA&#10;//8DAFBLAQItABQABgAIAAAAIQC2gziS/gAAAOEBAAATAAAAAAAAAAAAAAAAAAAAAABbQ29udGVu&#10;dF9UeXBlc10ueG1sUEsBAi0AFAAGAAgAAAAhADj9If/WAAAAlAEAAAsAAAAAAAAAAAAAAAAALwEA&#10;AF9yZWxzLy5yZWxzUEsBAi0AFAAGAAgAAAAhAJPHIv8uAgAAZwQAAA4AAAAAAAAAAAAAAAAALgIA&#10;AGRycy9lMm9Eb2MueG1sUEsBAi0AFAAGAAgAAAAhAJA3nzjgAAAACgEAAA8AAAAAAAAAAAAAAAAA&#10;iAQAAGRycy9kb3ducmV2LnhtbFBLBQYAAAAABAAEAPMAAACVBQAAAAA=&#10;" stroked="f">
                <v:textbox inset="0,0,0,0">
                  <w:txbxContent>
                    <w:p w14:paraId="1DA74E91" w14:textId="6BDC6D93" w:rsidR="00031C32" w:rsidRPr="00031C32" w:rsidRDefault="00031C32" w:rsidP="00031C32">
                      <w:pPr>
                        <w:pStyle w:val="Caption"/>
                        <w:jc w:val="both"/>
                        <w:rPr>
                          <w:color w:val="auto"/>
                          <w:sz w:val="22"/>
                          <w:szCs w:val="22"/>
                        </w:rPr>
                      </w:pPr>
                      <w:bookmarkStart w:id="6" w:name="_Ref78280283"/>
                      <w:r w:rsidRPr="00031C32">
                        <w:rPr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031C32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031C32">
                        <w:rPr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31C32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B278E3">
                        <w:rPr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031C32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bookmarkEnd w:id="6"/>
                      <w:r w:rsidRPr="00031C32">
                        <w:rPr>
                          <w:color w:val="auto"/>
                          <w:sz w:val="20"/>
                          <w:szCs w:val="20"/>
                        </w:rPr>
                        <w:t xml:space="preserve">. Meta-correlation of </w:t>
                      </w:r>
                      <w:r w:rsidR="00490399">
                        <w:rPr>
                          <w:color w:val="auto"/>
                          <w:sz w:val="20"/>
                          <w:szCs w:val="20"/>
                        </w:rPr>
                        <w:t xml:space="preserve">the </w:t>
                      </w:r>
                      <w:r w:rsidRPr="00031C32">
                        <w:rPr>
                          <w:color w:val="auto"/>
                          <w:sz w:val="20"/>
                          <w:szCs w:val="20"/>
                        </w:rPr>
                        <w:t xml:space="preserve">parameters </w:t>
                      </w:r>
                      <m:oMath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a</m:t>
                        </m:r>
                      </m:oMath>
                      <w:r w:rsidRPr="00031C32">
                        <w:rPr>
                          <w:color w:val="auto"/>
                          <w:sz w:val="20"/>
                          <w:szCs w:val="20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  <w:color w:val="auto"/>
                            <w:sz w:val="20"/>
                            <w:szCs w:val="20"/>
                          </w:rPr>
                          <m:t>b</m:t>
                        </m:r>
                      </m:oMath>
                      <w:r w:rsidR="00490399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, which </w:t>
                      </w:r>
                      <w:r w:rsidR="008375D8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>are</w:t>
                      </w:r>
                      <w:r w:rsidR="00490399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used to correlate </w:t>
                      </w:r>
                      <w:r w:rsidR="009E72DC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IEX adsorption </w:t>
                      </w:r>
                      <w:r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 xml:space="preserve">equilibrium constants as a function of ionic strength. Parameters were obtained by regressing experimental data for 16 protein-pH-resin </w:t>
                      </w:r>
                      <w:r w:rsidR="00490399"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>systems</w:t>
                      </w:r>
                      <w:r>
                        <w:rPr>
                          <w:rFonts w:eastAsiaTheme="minorEastAsia"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E105F" w:rsidRPr="001F41F7">
        <w:rPr>
          <w:sz w:val="20"/>
          <w:szCs w:val="20"/>
        </w:rPr>
        <w:t xml:space="preserve">In principle, </w:t>
      </w:r>
      <w:r w:rsidR="00722829">
        <w:rPr>
          <w:sz w:val="20"/>
          <w:szCs w:val="20"/>
        </w:rPr>
        <w:t>this</w:t>
      </w:r>
      <w:r w:rsidR="008652A6" w:rsidRPr="001F41F7">
        <w:rPr>
          <w:sz w:val="20"/>
          <w:szCs w:val="20"/>
        </w:rPr>
        <w:t xml:space="preserve"> </w:t>
      </w:r>
      <w:r w:rsidR="006E105F" w:rsidRPr="001F41F7">
        <w:rPr>
          <w:sz w:val="20"/>
          <w:szCs w:val="20"/>
        </w:rPr>
        <w:t xml:space="preserve">correlation could be used to estimate adsorption equilibria as a function of ionic strength given one </w:t>
      </w:r>
      <w:r w:rsidR="00787C66">
        <w:rPr>
          <w:sz w:val="20"/>
          <w:szCs w:val="20"/>
        </w:rPr>
        <w:t>isocratic</w:t>
      </w:r>
      <w:r w:rsidR="006E105F" w:rsidRPr="001F41F7">
        <w:rPr>
          <w:sz w:val="20"/>
          <w:szCs w:val="20"/>
        </w:rPr>
        <w:t xml:space="preserve"> measurement</w:t>
      </w:r>
      <w:r w:rsidR="00B03466">
        <w:rPr>
          <w:sz w:val="20"/>
          <w:szCs w:val="20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eq</m:t>
            </m:r>
          </m:sub>
        </m:sSub>
      </m:oMath>
      <w:r w:rsidR="006E105F" w:rsidRPr="001F41F7">
        <w:rPr>
          <w:sz w:val="20"/>
          <w:szCs w:val="20"/>
        </w:rPr>
        <w:t xml:space="preserve">. </w:t>
      </w:r>
      <w:r w:rsidR="00787C66">
        <w:rPr>
          <w:sz w:val="20"/>
          <w:szCs w:val="20"/>
        </w:rPr>
        <w:t>However</w:t>
      </w:r>
      <w:r w:rsidR="00922DB2" w:rsidRPr="001F41F7">
        <w:rPr>
          <w:sz w:val="20"/>
          <w:szCs w:val="20"/>
        </w:rPr>
        <w:t xml:space="preserve">, a </w:t>
      </w:r>
      <w:r w:rsidR="009E72DC">
        <w:rPr>
          <w:sz w:val="20"/>
          <w:szCs w:val="20"/>
        </w:rPr>
        <w:t xml:space="preserve">single </w:t>
      </w:r>
      <w:r w:rsidR="00922DB2" w:rsidRPr="001F41F7">
        <w:rPr>
          <w:sz w:val="20"/>
          <w:szCs w:val="20"/>
        </w:rPr>
        <w:t>measurement of elution ionic strength under a</w:t>
      </w:r>
      <w:r w:rsidR="00E52109" w:rsidRPr="001F41F7">
        <w:rPr>
          <w:sz w:val="20"/>
          <w:szCs w:val="20"/>
        </w:rPr>
        <w:t xml:space="preserve"> linear</w:t>
      </w:r>
      <w:r w:rsidR="00922DB2" w:rsidRPr="001F41F7">
        <w:rPr>
          <w:sz w:val="20"/>
          <w:szCs w:val="20"/>
        </w:rPr>
        <w:t xml:space="preserve"> gradient would </w:t>
      </w:r>
      <w:r w:rsidR="00787C66">
        <w:rPr>
          <w:sz w:val="20"/>
          <w:szCs w:val="20"/>
        </w:rPr>
        <w:t xml:space="preserve">also </w:t>
      </w:r>
      <w:r w:rsidR="00922DB2" w:rsidRPr="001F41F7">
        <w:rPr>
          <w:sz w:val="20"/>
          <w:szCs w:val="20"/>
        </w:rPr>
        <w:t>suffice</w:t>
      </w:r>
      <w:r w:rsidR="005C2251">
        <w:rPr>
          <w:sz w:val="20"/>
          <w:szCs w:val="20"/>
        </w:rPr>
        <w:t xml:space="preserve"> </w:t>
      </w:r>
      <w:r w:rsidR="00B03466">
        <w:rPr>
          <w:sz w:val="20"/>
          <w:szCs w:val="20"/>
        </w:rPr>
        <w:t xml:space="preserve">when coupled </w:t>
      </w:r>
      <w:r w:rsidR="005C2251">
        <w:rPr>
          <w:sz w:val="20"/>
          <w:szCs w:val="20"/>
        </w:rPr>
        <w:t>with an analysis using Yamamoto’s theory of linear gradient elution</w:t>
      </w:r>
      <w:r w:rsidR="00922DB2" w:rsidRPr="001F41F7">
        <w:rPr>
          <w:sz w:val="20"/>
          <w:szCs w:val="20"/>
        </w:rPr>
        <w:t xml:space="preserve">. </w:t>
      </w:r>
      <w:r w:rsidR="005C2251">
        <w:rPr>
          <w:sz w:val="20"/>
          <w:szCs w:val="20"/>
        </w:rPr>
        <w:lastRenderedPageBreak/>
        <w:t>Such an analysis was</w:t>
      </w:r>
      <w:r w:rsidR="00787C66">
        <w:rPr>
          <w:sz w:val="20"/>
          <w:szCs w:val="20"/>
        </w:rPr>
        <w:t xml:space="preserve"> demonstrated </w:t>
      </w:r>
      <w:r w:rsidR="00E405C2">
        <w:rPr>
          <w:sz w:val="20"/>
          <w:szCs w:val="20"/>
        </w:rPr>
        <w:t xml:space="preserve">using </w:t>
      </w:r>
      <w:r w:rsidR="00787C66" w:rsidRPr="001F41F7">
        <w:rPr>
          <w:sz w:val="20"/>
          <w:szCs w:val="20"/>
        </w:rPr>
        <w:t>data from experiments and literature</w:t>
      </w:r>
      <w:r w:rsidR="00914259">
        <w:rPr>
          <w:sz w:val="20"/>
          <w:szCs w:val="20"/>
        </w:rPr>
        <w:t xml:space="preserve"> that show consistency with the identified meta-correlation. </w:t>
      </w:r>
      <w:r w:rsidR="002B2DE1">
        <w:rPr>
          <w:sz w:val="20"/>
          <w:szCs w:val="20"/>
        </w:rPr>
        <w:t xml:space="preserve">This suggests </w:t>
      </w:r>
      <w:r w:rsidR="00914259">
        <w:rPr>
          <w:sz w:val="20"/>
          <w:szCs w:val="20"/>
        </w:rPr>
        <w:t xml:space="preserve">that </w:t>
      </w:r>
      <w:r w:rsidR="00616828" w:rsidRPr="001F41F7">
        <w:rPr>
          <w:sz w:val="20"/>
          <w:szCs w:val="20"/>
        </w:rPr>
        <w:t xml:space="preserve">a single linear gradient elution </w:t>
      </w:r>
      <w:r w:rsidR="00914259">
        <w:rPr>
          <w:sz w:val="20"/>
          <w:szCs w:val="20"/>
        </w:rPr>
        <w:t xml:space="preserve">experiment </w:t>
      </w:r>
      <w:r w:rsidR="00B03466">
        <w:rPr>
          <w:sz w:val="20"/>
          <w:szCs w:val="20"/>
        </w:rPr>
        <w:t xml:space="preserve">followed by </w:t>
      </w:r>
      <w:r w:rsidR="00616828" w:rsidRPr="001F41F7">
        <w:rPr>
          <w:sz w:val="20"/>
          <w:szCs w:val="20"/>
        </w:rPr>
        <w:t xml:space="preserve">proteomic analysis could provide </w:t>
      </w:r>
      <w:r w:rsidR="00965FCA" w:rsidRPr="001F41F7">
        <w:rPr>
          <w:sz w:val="20"/>
          <w:szCs w:val="20"/>
        </w:rPr>
        <w:t xml:space="preserve">estimates for HCP adsorption </w:t>
      </w:r>
      <w:r w:rsidR="002B2DE1">
        <w:rPr>
          <w:sz w:val="20"/>
          <w:szCs w:val="20"/>
        </w:rPr>
        <w:t>equilibria</w:t>
      </w:r>
      <w:r w:rsidR="00965FCA" w:rsidRPr="001F41F7">
        <w:rPr>
          <w:sz w:val="20"/>
          <w:szCs w:val="20"/>
        </w:rPr>
        <w:t xml:space="preserve"> as a function of ionic strength</w:t>
      </w:r>
      <w:r w:rsidR="00B03466">
        <w:rPr>
          <w:sz w:val="20"/>
          <w:szCs w:val="20"/>
        </w:rPr>
        <w:t>, as well as</w:t>
      </w:r>
      <w:r w:rsidR="00965FCA" w:rsidRPr="001F41F7">
        <w:rPr>
          <w:sz w:val="20"/>
          <w:szCs w:val="20"/>
        </w:rPr>
        <w:t xml:space="preserve"> an estimate for linear gradient elution ionic strength as a function of gradient slope</w:t>
      </w:r>
      <w:r w:rsidR="00787C66">
        <w:rPr>
          <w:sz w:val="20"/>
          <w:szCs w:val="20"/>
        </w:rPr>
        <w:t>.</w:t>
      </w:r>
    </w:p>
    <w:p w14:paraId="56750873" w14:textId="47AEC66D" w:rsidR="00867D60" w:rsidRPr="001F41F7" w:rsidRDefault="005F60B5" w:rsidP="00BC5EC1">
      <w:pPr>
        <w:ind w:firstLine="720"/>
        <w:jc w:val="both"/>
        <w:rPr>
          <w:sz w:val="20"/>
          <w:szCs w:val="20"/>
        </w:rPr>
      </w:pPr>
      <w:r w:rsidRPr="001F41F7">
        <w:rPr>
          <w:sz w:val="20"/>
          <w:szCs w:val="20"/>
        </w:rPr>
        <w:t xml:space="preserve">To assess the </w:t>
      </w:r>
      <w:r w:rsidR="004E4F54" w:rsidRPr="001F41F7">
        <w:rPr>
          <w:sz w:val="20"/>
          <w:szCs w:val="20"/>
        </w:rPr>
        <w:t xml:space="preserve">meta-correlation’s </w:t>
      </w:r>
      <w:r w:rsidR="000C52A2" w:rsidRPr="001F41F7">
        <w:rPr>
          <w:sz w:val="20"/>
          <w:szCs w:val="20"/>
        </w:rPr>
        <w:t xml:space="preserve">general </w:t>
      </w:r>
      <w:r w:rsidRPr="001F41F7">
        <w:rPr>
          <w:sz w:val="20"/>
          <w:szCs w:val="20"/>
        </w:rPr>
        <w:t xml:space="preserve">validity, </w:t>
      </w:r>
      <w:r w:rsidR="00BF6B1D" w:rsidRPr="001F41F7">
        <w:rPr>
          <w:sz w:val="20"/>
          <w:szCs w:val="20"/>
        </w:rPr>
        <w:t>retention factor</w:t>
      </w:r>
      <w:r w:rsidRPr="001F41F7">
        <w:rPr>
          <w:sz w:val="20"/>
          <w:szCs w:val="20"/>
        </w:rPr>
        <w:t xml:space="preserve"> data were compiled from </w:t>
      </w:r>
      <w:r w:rsidR="001A7A12" w:rsidRPr="001F41F7">
        <w:rPr>
          <w:sz w:val="20"/>
          <w:szCs w:val="20"/>
        </w:rPr>
        <w:t>experiments and</w:t>
      </w:r>
      <w:r w:rsidRPr="001F41F7">
        <w:rPr>
          <w:sz w:val="20"/>
          <w:szCs w:val="20"/>
        </w:rPr>
        <w:t xml:space="preserve"> literature</w:t>
      </w:r>
      <w:r w:rsidR="00914259">
        <w:rPr>
          <w:sz w:val="20"/>
          <w:szCs w:val="20"/>
        </w:rPr>
        <w:t xml:space="preserve"> containing over </w:t>
      </w:r>
      <w:r w:rsidR="00914259" w:rsidRPr="001F41F7">
        <w:rPr>
          <w:sz w:val="20"/>
          <w:szCs w:val="20"/>
        </w:rPr>
        <w:t>200 protein-pH-resin combinations</w:t>
      </w:r>
      <w:r w:rsidR="002A5551" w:rsidRPr="001F41F7">
        <w:rPr>
          <w:sz w:val="20"/>
          <w:szCs w:val="20"/>
        </w:rPr>
        <w:t xml:space="preserve">. </w:t>
      </w:r>
      <w:r w:rsidR="00BF6B1D" w:rsidRPr="001F41F7">
        <w:rPr>
          <w:sz w:val="20"/>
          <w:szCs w:val="20"/>
        </w:rPr>
        <w:t xml:space="preserve">Phase ratios specific to protein-resin pairs </w:t>
      </w:r>
      <w:r w:rsidR="00B03466">
        <w:rPr>
          <w:sz w:val="20"/>
          <w:szCs w:val="20"/>
        </w:rPr>
        <w:t>were</w:t>
      </w:r>
      <w:r w:rsidR="00BF6B1D" w:rsidRPr="001F41F7">
        <w:rPr>
          <w:sz w:val="20"/>
          <w:szCs w:val="20"/>
        </w:rPr>
        <w:t xml:space="preserve"> unknown for the majority of these combinations</w:t>
      </w:r>
      <w:r w:rsidR="005013A5" w:rsidRPr="001F41F7">
        <w:rPr>
          <w:sz w:val="20"/>
          <w:szCs w:val="20"/>
        </w:rPr>
        <w:t>, which preclude</w:t>
      </w:r>
      <w:r w:rsidR="00B03466">
        <w:rPr>
          <w:sz w:val="20"/>
          <w:szCs w:val="20"/>
        </w:rPr>
        <w:t>d</w:t>
      </w:r>
      <w:r w:rsidR="005013A5" w:rsidRPr="001F41F7">
        <w:rPr>
          <w:sz w:val="20"/>
          <w:szCs w:val="20"/>
        </w:rPr>
        <w:t xml:space="preserve"> a true thermodynamic comparison based on equilibrium constants</w:t>
      </w:r>
      <w:r w:rsidR="00BF6B1D" w:rsidRPr="001F41F7">
        <w:rPr>
          <w:sz w:val="20"/>
          <w:szCs w:val="20"/>
        </w:rPr>
        <w:t xml:space="preserve">. </w:t>
      </w:r>
      <w:r w:rsidR="00F10C4E" w:rsidRPr="001F41F7">
        <w:rPr>
          <w:sz w:val="20"/>
          <w:szCs w:val="20"/>
        </w:rPr>
        <w:t>Given</w:t>
      </w:r>
      <w:r w:rsidR="00BF6B1D" w:rsidRPr="001F41F7">
        <w:rPr>
          <w:sz w:val="20"/>
          <w:szCs w:val="20"/>
        </w:rPr>
        <w:t xml:space="preserve"> this paucity, phase ratios were assumed to be of comparable magnitud</w:t>
      </w:r>
      <w:r w:rsidR="00484841" w:rsidRPr="001F41F7">
        <w:rPr>
          <w:sz w:val="20"/>
          <w:szCs w:val="20"/>
        </w:rPr>
        <w:t xml:space="preserve">e, and retention factor data were directly regressed. </w:t>
      </w:r>
      <w:r w:rsidR="00F7713D" w:rsidRPr="001F41F7">
        <w:rPr>
          <w:sz w:val="20"/>
          <w:szCs w:val="20"/>
        </w:rPr>
        <w:t>The</w:t>
      </w:r>
      <w:r w:rsidR="00F568C7" w:rsidRPr="001F41F7">
        <w:rPr>
          <w:sz w:val="20"/>
          <w:szCs w:val="20"/>
        </w:rPr>
        <w:t xml:space="preserve"> extracted</w:t>
      </w:r>
      <w:r w:rsidR="00F7713D" w:rsidRPr="001F41F7">
        <w:rPr>
          <w:sz w:val="20"/>
          <w:szCs w:val="20"/>
        </w:rPr>
        <w:t xml:space="preserve"> power-law parameters </w:t>
      </w:r>
      <w:r w:rsidR="00CA7AF3" w:rsidRPr="001F41F7">
        <w:rPr>
          <w:sz w:val="20"/>
          <w:szCs w:val="20"/>
        </w:rPr>
        <w:t>were shown to follow</w:t>
      </w:r>
      <w:r w:rsidR="00F7713D" w:rsidRPr="001F41F7">
        <w:rPr>
          <w:sz w:val="20"/>
          <w:szCs w:val="20"/>
        </w:rPr>
        <w:t xml:space="preserve"> the meta-correlation, albeit with more noise</w:t>
      </w:r>
      <w:r w:rsidR="009E7C68" w:rsidRPr="001F41F7">
        <w:rPr>
          <w:sz w:val="20"/>
          <w:szCs w:val="20"/>
        </w:rPr>
        <w:t xml:space="preserve"> (</w:t>
      </w:r>
      <w:r w:rsidR="00FB2B35" w:rsidRPr="00FB2B35">
        <w:rPr>
          <w:sz w:val="20"/>
          <w:szCs w:val="20"/>
        </w:rPr>
        <w:fldChar w:fldCharType="begin"/>
      </w:r>
      <w:r w:rsidR="00FB2B35" w:rsidRPr="00FB2B35">
        <w:rPr>
          <w:sz w:val="20"/>
          <w:szCs w:val="20"/>
        </w:rPr>
        <w:instrText xml:space="preserve"> REF _Ref78273862 \h  \* MERGEFORMAT </w:instrText>
      </w:r>
      <w:r w:rsidR="00FB2B35" w:rsidRPr="00FB2B35">
        <w:rPr>
          <w:sz w:val="20"/>
          <w:szCs w:val="20"/>
        </w:rPr>
      </w:r>
      <w:r w:rsidR="00FB2B35" w:rsidRPr="00FB2B35">
        <w:rPr>
          <w:sz w:val="20"/>
          <w:szCs w:val="20"/>
        </w:rPr>
        <w:fldChar w:fldCharType="separate"/>
      </w:r>
      <w:r w:rsidR="00B278E3" w:rsidRPr="00B278E3">
        <w:rPr>
          <w:sz w:val="20"/>
          <w:szCs w:val="20"/>
        </w:rPr>
        <w:t xml:space="preserve">Figure </w:t>
      </w:r>
      <w:r w:rsidR="00B278E3" w:rsidRPr="00B278E3">
        <w:rPr>
          <w:noProof/>
          <w:sz w:val="20"/>
          <w:szCs w:val="20"/>
        </w:rPr>
        <w:t>4</w:t>
      </w:r>
      <w:r w:rsidR="00FB2B35" w:rsidRPr="00FB2B35">
        <w:rPr>
          <w:sz w:val="20"/>
          <w:szCs w:val="20"/>
        </w:rPr>
        <w:fldChar w:fldCharType="end"/>
      </w:r>
      <w:r w:rsidR="009E7C68" w:rsidRPr="001F41F7">
        <w:rPr>
          <w:sz w:val="20"/>
          <w:szCs w:val="20"/>
        </w:rPr>
        <w:t>)</w:t>
      </w:r>
      <w:r w:rsidR="00F7713D" w:rsidRPr="001F41F7">
        <w:rPr>
          <w:sz w:val="20"/>
          <w:szCs w:val="20"/>
        </w:rPr>
        <w:t xml:space="preserve">. </w:t>
      </w:r>
      <w:r w:rsidR="00C9038A" w:rsidRPr="001F41F7">
        <w:rPr>
          <w:sz w:val="20"/>
          <w:szCs w:val="20"/>
        </w:rPr>
        <w:t xml:space="preserve">Upon extrapolation, </w:t>
      </w:r>
      <w:r w:rsidR="005013A5" w:rsidRPr="001F41F7">
        <w:rPr>
          <w:sz w:val="20"/>
          <w:szCs w:val="20"/>
        </w:rPr>
        <w:t>the</w:t>
      </w:r>
      <w:r w:rsidR="00C9038A" w:rsidRPr="001F41F7">
        <w:rPr>
          <w:sz w:val="20"/>
          <w:szCs w:val="20"/>
        </w:rPr>
        <w:t xml:space="preserve"> correlation also </w:t>
      </w:r>
      <w:r w:rsidR="00B03466">
        <w:rPr>
          <w:sz w:val="20"/>
          <w:szCs w:val="20"/>
        </w:rPr>
        <w:t xml:space="preserve">agreed with </w:t>
      </w:r>
      <w:r w:rsidR="009253E8" w:rsidRPr="001F41F7">
        <w:rPr>
          <w:sz w:val="20"/>
          <w:szCs w:val="20"/>
        </w:rPr>
        <w:t>parameters</w:t>
      </w:r>
      <w:r w:rsidR="00C9038A" w:rsidRPr="001F41F7">
        <w:rPr>
          <w:sz w:val="20"/>
          <w:szCs w:val="20"/>
        </w:rPr>
        <w:t xml:space="preserve"> that were</w:t>
      </w:r>
      <w:r w:rsidR="009253E8" w:rsidRPr="001F41F7">
        <w:rPr>
          <w:sz w:val="20"/>
          <w:szCs w:val="20"/>
        </w:rPr>
        <w:t xml:space="preserve"> independently estimated from a continuum electrostatics model</w:t>
      </w:r>
      <w:r w:rsidR="00B03466">
        <w:rPr>
          <w:sz w:val="20"/>
          <w:szCs w:val="20"/>
        </w:rPr>
        <w:t xml:space="preserve">, suggesting </w:t>
      </w:r>
      <w:r w:rsidR="00914259">
        <w:rPr>
          <w:sz w:val="20"/>
          <w:szCs w:val="20"/>
        </w:rPr>
        <w:t>that</w:t>
      </w:r>
      <w:r w:rsidR="002A69DD" w:rsidRPr="001F41F7">
        <w:rPr>
          <w:sz w:val="20"/>
          <w:szCs w:val="20"/>
        </w:rPr>
        <w:t xml:space="preserve"> the meta-correlation is consistent with the physical basis for IEX adsorption.</w:t>
      </w:r>
    </w:p>
    <w:p w14:paraId="3DCEF032" w14:textId="65D45EF6" w:rsidR="00EC2385" w:rsidRPr="001F41F7" w:rsidRDefault="00C158BB" w:rsidP="00867D60">
      <w:pPr>
        <w:ind w:firstLine="720"/>
        <w:jc w:val="both"/>
        <w:rPr>
          <w:sz w:val="20"/>
          <w:szCs w:val="20"/>
        </w:rPr>
      </w:pPr>
      <w:r w:rsidRPr="00B03466">
        <w:rPr>
          <w:noProof/>
          <w:sz w:val="20"/>
          <w:szCs w:val="20"/>
        </w:rPr>
        <w:drawing>
          <wp:anchor distT="0" distB="0" distL="114300" distR="114300" simplePos="0" relativeHeight="251693056" behindDoc="0" locked="0" layoutInCell="1" allowOverlap="1" wp14:anchorId="1B57219D" wp14:editId="7F607C82">
            <wp:simplePos x="0" y="0"/>
            <wp:positionH relativeFrom="margin">
              <wp:posOffset>-171450</wp:posOffset>
            </wp:positionH>
            <wp:positionV relativeFrom="paragraph">
              <wp:posOffset>1351915</wp:posOffset>
            </wp:positionV>
            <wp:extent cx="3261995" cy="2638425"/>
            <wp:effectExtent l="0" t="0" r="0" b="9525"/>
            <wp:wrapSquare wrapText="bothSides"/>
            <wp:docPr id="10" name="Picture 9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04FF22-4A5D-4211-9E29-980773B131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8704FF22-4A5D-4211-9E29-980773B131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7" t="4550" b="4807"/>
                    <a:stretch/>
                  </pic:blipFill>
                  <pic:spPr bwMode="auto">
                    <a:xfrm>
                      <a:off x="0" y="0"/>
                      <a:ext cx="326199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712" w:rsidRPr="00B0346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3B77EE" wp14:editId="1E2BC4F7">
                <wp:simplePos x="0" y="0"/>
                <wp:positionH relativeFrom="column">
                  <wp:posOffset>1828165</wp:posOffset>
                </wp:positionH>
                <wp:positionV relativeFrom="paragraph">
                  <wp:posOffset>1389380</wp:posOffset>
                </wp:positionV>
                <wp:extent cx="1190625" cy="374270"/>
                <wp:effectExtent l="0" t="0" r="0" b="0"/>
                <wp:wrapNone/>
                <wp:docPr id="12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742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7A725B" w14:textId="77777777" w:rsidR="00B03466" w:rsidRPr="00AF53BF" w:rsidRDefault="00B71C96" w:rsidP="00B03466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  <m:t>=a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IS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3B77EE" id="TextBox 5" o:spid="_x0000_s1029" type="#_x0000_t202" style="position:absolute;left:0;text-align:left;margin-left:143.95pt;margin-top:109.4pt;width:93.75pt;height:29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DXkgEAAAoDAAAOAAAAZHJzL2Uyb0RvYy54bWysUstu2zAQvAfoPxC815LlxG4Ey0YKI7kU&#10;bYC4H0BTpEVA5LJc2pL/vkv6kaC9Fb3wsTs7nJ3lcj3anh1VQAOu4dNJyZlyElrj9g3/uX3+/IUz&#10;jMK1ogenGn5SyNerT3fLwdeqgg76VgVGJA7rwTe8i9HXRYGyU1bgBLxylNQQrIh0DfuiDWIgdtsX&#10;VVnOiwFC6wNIhUjRzTnJV5lfayXjD61RRdY3nLTFvIa87tJarJai3gfhOyMvMsQ/qLDCOHr0RrUR&#10;UbBDMH9RWSMDIOg4kWAL0NpIlXugbqblH928dcKr3AuZg/5mE/4/Wvn9+BqYaWl2FWdOWJrRVo3x&#10;K4zsIbkzeKwJ9OYJFkcKE/IaRwqmpkcdbNqpHUZ58vl085a4mExF08dyXj1wJik3W9xXi2x+8V7t&#10;A8YXBZalQ8MDzS5bKo7fMJISgl4h6TEHz6bvUzxJPEtJpzjuxtzQ7CpzB+2J1A805Ybjr4MIyVRB&#10;NU+HSCyZPJWegRdGMjy/efkcaaIf7xn1/oVXvwEAAP//AwBQSwMEFAAGAAgAAAAhAOvPxxnfAAAA&#10;CwEAAA8AAABkcnMvZG93bnJldi54bWxMj81OwzAQhO9IvIO1SNyok6olIY1TVfxIHLhQwn0bu3FE&#10;vI5it0nfnuVEb7s7o9lvyu3senE2Y+g8KUgXCQhDjdcdtQrqr7eHHESISBp7T0bBxQTYVrc3JRba&#10;T/RpzvvYCg6hUKACG+NQSBkaaxyGhR8MsXb0o8PI69hKPeLE4a6XyyR5lA474g8WB/NsTfOzPzkF&#10;MepdeqlfXXj/nj9eJps0a6yVur+bdxsQ0czx3wx/+IwOFTMd/Il0EL2CZZ49sZWHNOcO7Fhl6xWI&#10;A1+yLANZlfK6Q/ULAAD//wMAUEsBAi0AFAAGAAgAAAAhALaDOJL+AAAA4QEAABMAAAAAAAAAAAAA&#10;AAAAAAAAAFtDb250ZW50X1R5cGVzXS54bWxQSwECLQAUAAYACAAAACEAOP0h/9YAAACUAQAACwAA&#10;AAAAAAAAAAAAAAAvAQAAX3JlbHMvLnJlbHNQSwECLQAUAAYACAAAACEApXdA15IBAAAKAwAADgAA&#10;AAAAAAAAAAAAAAAuAgAAZHJzL2Uyb0RvYy54bWxQSwECLQAUAAYACAAAACEA68/HGd8AAAALAQAA&#10;DwAAAAAAAAAAAAAAAADsAwAAZHJzL2Rvd25yZXYueG1sUEsFBgAAAAAEAAQA8wAAAPgEAAAAAA==&#10;" filled="f" stroked="f">
                <v:textbox style="mso-fit-shape-to-text:t">
                  <w:txbxContent>
                    <w:p w14:paraId="5A7A725B" w14:textId="77777777" w:rsidR="00B03466" w:rsidRPr="00AF53BF" w:rsidRDefault="00B03466" w:rsidP="00B03466">
                      <w:pPr>
                        <w:rPr>
                          <w:rFonts w:ascii="Cambria Math" w:hAnsi="+mn-cs" w:cstheme="minorBidi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=a 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IS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67D60" w:rsidRPr="001F41F7">
        <w:rPr>
          <w:sz w:val="20"/>
          <w:szCs w:val="20"/>
        </w:rPr>
        <w:t>Unfortunately</w:t>
      </w:r>
      <w:r w:rsidR="002F078C" w:rsidRPr="001F41F7">
        <w:rPr>
          <w:sz w:val="20"/>
          <w:szCs w:val="20"/>
        </w:rPr>
        <w:t xml:space="preserve">, </w:t>
      </w:r>
      <w:r w:rsidR="00E405C2">
        <w:rPr>
          <w:sz w:val="20"/>
          <w:szCs w:val="20"/>
        </w:rPr>
        <w:t>statistical uncertainty</w:t>
      </w:r>
      <w:r w:rsidR="00867D60" w:rsidRPr="001F41F7">
        <w:rPr>
          <w:sz w:val="20"/>
          <w:szCs w:val="20"/>
        </w:rPr>
        <w:t xml:space="preserve"> becomes problematic in practical application</w:t>
      </w:r>
      <w:r w:rsidR="00E405C2">
        <w:rPr>
          <w:sz w:val="20"/>
          <w:szCs w:val="20"/>
        </w:rPr>
        <w:t xml:space="preserve"> of the meta-correlation</w:t>
      </w:r>
      <w:r w:rsidR="00867D60" w:rsidRPr="001F41F7">
        <w:rPr>
          <w:sz w:val="20"/>
          <w:szCs w:val="20"/>
        </w:rPr>
        <w:t xml:space="preserve">. </w:t>
      </w:r>
      <w:r w:rsidR="00EC2385" w:rsidRPr="001F41F7">
        <w:rPr>
          <w:sz w:val="20"/>
          <w:szCs w:val="20"/>
        </w:rPr>
        <w:t xml:space="preserve">Although the relationship between adsorption strength and characteristic charge </w:t>
      </w:r>
      <w:r w:rsidR="00867D60" w:rsidRPr="001F41F7">
        <w:rPr>
          <w:sz w:val="20"/>
          <w:szCs w:val="20"/>
        </w:rPr>
        <w:t xml:space="preserve">is described </w:t>
      </w:r>
      <w:r w:rsidR="00EC2385" w:rsidRPr="001F41F7">
        <w:rPr>
          <w:sz w:val="20"/>
          <w:szCs w:val="20"/>
        </w:rPr>
        <w:t>qualitatively well, the quantitative description suffers from order-of-magnitude noise in</w:t>
      </w:r>
      <w:r w:rsidR="00E405C2">
        <w:rPr>
          <w:sz w:val="20"/>
          <w:szCs w:val="20"/>
        </w:rPr>
        <w:t xml:space="preserve"> the</w:t>
      </w:r>
      <w:r w:rsidR="00EC2385" w:rsidRPr="001F41F7">
        <w:rPr>
          <w:sz w:val="20"/>
          <w:szCs w:val="20"/>
        </w:rPr>
        <w:t xml:space="preserve"> adsorption strength</w:t>
      </w:r>
      <w:r w:rsidR="00E405C2">
        <w:rPr>
          <w:sz w:val="20"/>
          <w:szCs w:val="20"/>
        </w:rPr>
        <w:t xml:space="preserve"> (parameter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E405C2">
        <w:rPr>
          <w:sz w:val="20"/>
          <w:szCs w:val="20"/>
        </w:rPr>
        <w:t>)</w:t>
      </w:r>
      <w:r w:rsidR="00914259">
        <w:rPr>
          <w:sz w:val="20"/>
          <w:szCs w:val="20"/>
        </w:rPr>
        <w:t>, making</w:t>
      </w:r>
      <w:r w:rsidR="00EC2385" w:rsidRPr="001F41F7">
        <w:rPr>
          <w:sz w:val="20"/>
          <w:szCs w:val="20"/>
        </w:rPr>
        <w:t xml:space="preserve"> the prediction interval </w:t>
      </w:r>
      <w:r w:rsidR="001E026B">
        <w:rPr>
          <w:sz w:val="20"/>
          <w:szCs w:val="20"/>
        </w:rPr>
        <w:t>of</w:t>
      </w:r>
      <w:r w:rsidR="00EC2385" w:rsidRPr="001F41F7">
        <w:rPr>
          <w:sz w:val="20"/>
          <w:szCs w:val="20"/>
        </w:rPr>
        <w:t xml:space="preserve"> retention estimates </w:t>
      </w:r>
      <w:r w:rsidR="005A16CE" w:rsidRPr="001F41F7">
        <w:rPr>
          <w:sz w:val="20"/>
          <w:szCs w:val="20"/>
        </w:rPr>
        <w:t>too broad for practical utility</w:t>
      </w:r>
      <w:r w:rsidR="00EC2385" w:rsidRPr="001F41F7">
        <w:rPr>
          <w:sz w:val="20"/>
          <w:szCs w:val="20"/>
        </w:rPr>
        <w:t xml:space="preserve">. Additional factors are needed to explain some of the correlation’s noise. Analysis of covariance showed </w:t>
      </w:r>
      <w:r w:rsidR="00914259">
        <w:rPr>
          <w:sz w:val="20"/>
          <w:szCs w:val="20"/>
        </w:rPr>
        <w:t xml:space="preserve">that </w:t>
      </w:r>
      <w:r w:rsidR="00EC2385" w:rsidRPr="001F41F7">
        <w:rPr>
          <w:sz w:val="20"/>
          <w:szCs w:val="20"/>
        </w:rPr>
        <w:t xml:space="preserve">the IEX type </w:t>
      </w:r>
      <w:r w:rsidR="00914259">
        <w:rPr>
          <w:sz w:val="20"/>
          <w:szCs w:val="20"/>
        </w:rPr>
        <w:t xml:space="preserve">(cation/anion) </w:t>
      </w:r>
      <w:r w:rsidR="00EC2385" w:rsidRPr="001F41F7">
        <w:rPr>
          <w:sz w:val="20"/>
          <w:szCs w:val="20"/>
        </w:rPr>
        <w:t>significantly explain</w:t>
      </w:r>
      <w:r w:rsidR="00914259">
        <w:rPr>
          <w:sz w:val="20"/>
          <w:szCs w:val="20"/>
        </w:rPr>
        <w:t>s</w:t>
      </w:r>
      <w:r w:rsidR="00EC2385" w:rsidRPr="001F41F7">
        <w:rPr>
          <w:sz w:val="20"/>
          <w:szCs w:val="20"/>
        </w:rPr>
        <w:t xml:space="preserve"> some noise</w:t>
      </w:r>
      <w:r w:rsidR="00E405C2">
        <w:rPr>
          <w:sz w:val="20"/>
          <w:szCs w:val="20"/>
        </w:rPr>
        <w:t xml:space="preserve"> (Figure 4)</w:t>
      </w:r>
      <w:r w:rsidR="00EC2385" w:rsidRPr="001F41F7">
        <w:rPr>
          <w:sz w:val="20"/>
          <w:szCs w:val="20"/>
        </w:rPr>
        <w:t>, but the prediction intervals remain</w:t>
      </w:r>
      <w:r w:rsidR="005A16CE" w:rsidRPr="001F41F7">
        <w:rPr>
          <w:sz w:val="20"/>
          <w:szCs w:val="20"/>
        </w:rPr>
        <w:t xml:space="preserve"> broad</w:t>
      </w:r>
      <w:r w:rsidR="00EC2385" w:rsidRPr="001F41F7">
        <w:rPr>
          <w:sz w:val="20"/>
          <w:szCs w:val="20"/>
        </w:rPr>
        <w:t>.</w:t>
      </w:r>
      <w:r w:rsidR="007A25A4" w:rsidRPr="001F41F7">
        <w:rPr>
          <w:sz w:val="20"/>
          <w:szCs w:val="20"/>
        </w:rPr>
        <w:t xml:space="preserve"> </w:t>
      </w:r>
      <w:r w:rsidR="005A16CE" w:rsidRPr="001F41F7">
        <w:rPr>
          <w:sz w:val="20"/>
          <w:szCs w:val="20"/>
        </w:rPr>
        <w:t xml:space="preserve">This appreciable limitation precludes the correlation’s quantitative application to all HCPs generally. Nonetheless, it is helpful for understanding qualitative thermodynamic behavior, and it may be useful when subsets of </w:t>
      </w:r>
      <w:r w:rsidR="00397F01" w:rsidRPr="001F41F7">
        <w:rPr>
          <w:sz w:val="20"/>
          <w:szCs w:val="20"/>
        </w:rPr>
        <w:t xml:space="preserve">protein-resin </w:t>
      </w:r>
      <w:r w:rsidR="00E174F2" w:rsidRPr="001F41F7">
        <w:rPr>
          <w:sz w:val="20"/>
          <w:szCs w:val="20"/>
        </w:rPr>
        <w:t>combinations</w:t>
      </w:r>
      <w:r w:rsidR="005A16CE" w:rsidRPr="001F41F7">
        <w:rPr>
          <w:sz w:val="20"/>
          <w:szCs w:val="20"/>
        </w:rPr>
        <w:t xml:space="preserve"> are considered separately. </w:t>
      </w:r>
    </w:p>
    <w:p w14:paraId="5EF5985D" w14:textId="2D20D417" w:rsidR="00B03466" w:rsidRDefault="00383712" w:rsidP="00963D72">
      <w:pPr>
        <w:ind w:firstLine="720"/>
        <w:jc w:val="both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274320" distR="182880" simplePos="0" relativeHeight="251676672" behindDoc="1" locked="0" layoutInCell="1" allowOverlap="1" wp14:anchorId="550D9184" wp14:editId="7B8E1106">
                <wp:simplePos x="0" y="0"/>
                <wp:positionH relativeFrom="margin">
                  <wp:align>left</wp:align>
                </wp:positionH>
                <wp:positionV relativeFrom="paragraph">
                  <wp:posOffset>2457450</wp:posOffset>
                </wp:positionV>
                <wp:extent cx="3028950" cy="1419225"/>
                <wp:effectExtent l="0" t="0" r="0" b="9525"/>
                <wp:wrapTight wrapText="bothSides">
                  <wp:wrapPolygon edited="0">
                    <wp:start x="0" y="0"/>
                    <wp:lineTo x="0" y="21455"/>
                    <wp:lineTo x="21464" y="21455"/>
                    <wp:lineTo x="21464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419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96944" w14:textId="7281687A" w:rsidR="000009A5" w:rsidRPr="001618BC" w:rsidRDefault="000009A5" w:rsidP="001618BC">
                            <w:pPr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bookmarkStart w:id="7" w:name="_Ref78273862"/>
                            <w:r w:rsidRPr="000009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0009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009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0009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278E3">
                              <w:rPr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0009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7"/>
                            <w:r w:rsidRPr="000009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. Thermodynamic meta-correlation of </w:t>
                            </w:r>
                            <w:r w:rsidR="0072282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power-law parameters describing the </w:t>
                            </w:r>
                            <w:r w:rsidRPr="000009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retention factor (k’) – ionic strength (IS) </w:t>
                            </w:r>
                            <w:r w:rsidR="0072282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relationship of protein-pH-resin systems in the augmented data set</w:t>
                            </w:r>
                            <w:r w:rsidRPr="000009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. Correlations for cation-exchange (CEX) and anion-exchange (AEX) </w:t>
                            </w:r>
                            <w:r w:rsidR="0072282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resins</w:t>
                            </w:r>
                            <w:r w:rsidRPr="000009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are shown as dashed lines. The dark shaded regions represent 95% confidence intervals, and the light shaded regions represent 95% prediction intervals. Note the abscissa is on a logarithmic scale.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9184" id="Text Box 4" o:spid="_x0000_s1030" type="#_x0000_t202" style="position:absolute;left:0;text-align:left;margin-left:0;margin-top:193.5pt;width:238.5pt;height:111.75pt;z-index:-251639808;visibility:visible;mso-wrap-style:square;mso-width-percent:0;mso-height-percent:0;mso-wrap-distance-left:21.6pt;mso-wrap-distance-top:0;mso-wrap-distance-right:14.4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929MAIAAGgEAAAOAAAAZHJzL2Uyb0RvYy54bWysVE1v2zAMvQ/YfxB0X5xk6dAGcYosRYYB&#10;QVsgGXpWZDkWIIkapcTOfv0of6Rbt9Owi0yRFKX3HunFfWMNOysMGlzOJ6MxZ8pJKLQ75vzbfvPh&#10;lrMQhSuEAadyflGB3y/fv1vUfq6mUIEpFDIq4sK89jmvYvTzLAuyUlaEEXjlKFgCWhFpi8esQFFT&#10;dWuy6Xj8KasBC48gVQjkfeiCfNnWL0sl41NZBhWZyTm9LbYrtushrdlyIeZHFL7Ssn+G+IdXWKEd&#10;XXot9SCiYCfUf5SyWiIEKONIgs2gLLVULQZCMxm/QbOrhFctFiIn+CtN4f+VlY/nZ2S6yPmMMycs&#10;SbRXTWSfoWGzxE7tw5ySdp7SYkNuUnnwB3Im0E2JNn0JDqM48Xy5cpuKSXJ+HE9v724oJCk2mU3u&#10;ptObVCd7Pe4xxC8KLEtGzpHEazkV522IXeqQkm4LYHSx0cakTQqsDbKzIKHrSkfVF/8ty7iU6yCd&#10;6gomT5YwdliSFZtD0zPS4z9AcSH4CF37BC83mu7bihCfBVK/ECyagfhES2mgzjn0FmcV4I+/+VM+&#10;yUhRzmrqv5yH7yeBijPz1ZHAqVkHAwfjMBjuZNdASCc0XV62Jh3AaAazRLAvNBqrdAuFhJN0V87j&#10;YK5jNwU0WlKtVm0StaQXcet2XqbSA6/75kWg71WJJOgjDJ0p5m/E6XI7llenCKVulUu8diz2dFM7&#10;t9r3o5fm5dd9m/X6g1j+BAAA//8DAFBLAwQUAAYACAAAACEAS7b2h90AAAAIAQAADwAAAGRycy9k&#10;b3ducmV2LnhtbEyPQU/CQBCF7yb+h82YeDGyBRVI7ZYo6E0PIOE8dMe2sTvbdLe0/HuHk97e5L18&#10;8162Gl2jTtSF2rOB6SQBRVx4W3NpYP/1fr8EFSKyxcYzGThTgFV+fZVhav3AWzrtYqkEwiFFA1WM&#10;bap1KCpyGCa+JRbv23cOo5xdqW2Hg8Bdo2dJMtcOa5YPFba0rqj42fXOwHzT9cOW13eb/dsHfrbl&#10;7PB6PhhzezO+PIOKNMa/MFzqS3XIpdPR92yDagzIkGjgYbkQIfbj4iKOwp4mT6DzTP8fkP8CAAD/&#10;/wMAUEsBAi0AFAAGAAgAAAAhALaDOJL+AAAA4QEAABMAAAAAAAAAAAAAAAAAAAAAAFtDb250ZW50&#10;X1R5cGVzXS54bWxQSwECLQAUAAYACAAAACEAOP0h/9YAAACUAQAACwAAAAAAAAAAAAAAAAAvAQAA&#10;X3JlbHMvLnJlbHNQSwECLQAUAAYACAAAACEABAfdvTACAABoBAAADgAAAAAAAAAAAAAAAAAuAgAA&#10;ZHJzL2Uyb0RvYy54bWxQSwECLQAUAAYACAAAACEAS7b2h90AAAAIAQAADwAAAAAAAAAAAAAAAACK&#10;BAAAZHJzL2Rvd25yZXYueG1sUEsFBgAAAAAEAAQA8wAAAJQFAAAAAA==&#10;" stroked="f">
                <v:textbox inset="0,0,0,0">
                  <w:txbxContent>
                    <w:p w14:paraId="45596944" w14:textId="7281687A" w:rsidR="000009A5" w:rsidRPr="001618BC" w:rsidRDefault="000009A5" w:rsidP="001618BC">
                      <w:pPr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bookmarkStart w:id="8" w:name="_Ref78273862"/>
                      <w:r w:rsidRPr="000009A5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 w:rsidRPr="000009A5">
                        <w:rPr>
                          <w:i/>
                          <w:iCs/>
                          <w:sz w:val="20"/>
                          <w:szCs w:val="20"/>
                        </w:rPr>
                        <w:fldChar w:fldCharType="begin"/>
                      </w:r>
                      <w:r w:rsidRPr="000009A5">
                        <w:rPr>
                          <w:i/>
                          <w:iCs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0009A5">
                        <w:rPr>
                          <w:i/>
                          <w:iCs/>
                          <w:sz w:val="20"/>
                          <w:szCs w:val="20"/>
                        </w:rPr>
                        <w:fldChar w:fldCharType="separate"/>
                      </w:r>
                      <w:r w:rsidR="00B278E3">
                        <w:rPr>
                          <w:i/>
                          <w:iCs/>
                          <w:noProof/>
                          <w:sz w:val="20"/>
                          <w:szCs w:val="20"/>
                        </w:rPr>
                        <w:t>4</w:t>
                      </w:r>
                      <w:r w:rsidRPr="000009A5">
                        <w:rPr>
                          <w:i/>
                          <w:iCs/>
                          <w:sz w:val="20"/>
                          <w:szCs w:val="20"/>
                        </w:rPr>
                        <w:fldChar w:fldCharType="end"/>
                      </w:r>
                      <w:bookmarkEnd w:id="8"/>
                      <w:r w:rsidRPr="000009A5">
                        <w:rPr>
                          <w:i/>
                          <w:iCs/>
                          <w:sz w:val="20"/>
                          <w:szCs w:val="20"/>
                        </w:rPr>
                        <w:t xml:space="preserve">. Thermodynamic meta-correlation of </w:t>
                      </w:r>
                      <w:r w:rsidR="00722829">
                        <w:rPr>
                          <w:i/>
                          <w:iCs/>
                          <w:sz w:val="20"/>
                          <w:szCs w:val="20"/>
                        </w:rPr>
                        <w:t xml:space="preserve">power-law parameters describing the </w:t>
                      </w:r>
                      <w:r w:rsidRPr="000009A5">
                        <w:rPr>
                          <w:i/>
                          <w:iCs/>
                          <w:sz w:val="20"/>
                          <w:szCs w:val="20"/>
                        </w:rPr>
                        <w:t xml:space="preserve">retention factor (k’) – ionic strength (IS) </w:t>
                      </w:r>
                      <w:r w:rsidR="00722829">
                        <w:rPr>
                          <w:i/>
                          <w:iCs/>
                          <w:sz w:val="20"/>
                          <w:szCs w:val="20"/>
                        </w:rPr>
                        <w:t>relationship of protein-pH-resin systems in the augmented data set</w:t>
                      </w:r>
                      <w:r w:rsidRPr="000009A5">
                        <w:rPr>
                          <w:i/>
                          <w:iCs/>
                          <w:sz w:val="20"/>
                          <w:szCs w:val="20"/>
                        </w:rPr>
                        <w:t xml:space="preserve">. Correlations for cation-exchange (CEX) and anion-exchange (AEX) </w:t>
                      </w:r>
                      <w:r w:rsidR="00722829">
                        <w:rPr>
                          <w:i/>
                          <w:iCs/>
                          <w:sz w:val="20"/>
                          <w:szCs w:val="20"/>
                        </w:rPr>
                        <w:t>resins</w:t>
                      </w:r>
                      <w:r w:rsidRPr="000009A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are shown as dashed lines. The dark shaded regions represent 95% confidence intervals, and the light shaded regions represent 95% prediction intervals. Note the abscissa is on a logarithmic scale.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0A72">
        <w:rPr>
          <w:sz w:val="20"/>
          <w:szCs w:val="20"/>
        </w:rPr>
        <w:t>T</w:t>
      </w:r>
      <w:r w:rsidR="00B03466">
        <w:rPr>
          <w:sz w:val="20"/>
          <w:szCs w:val="20"/>
        </w:rPr>
        <w:t>he complexity of adsorption phenomena</w:t>
      </w:r>
      <w:r w:rsidR="00210A72">
        <w:rPr>
          <w:sz w:val="20"/>
          <w:szCs w:val="20"/>
        </w:rPr>
        <w:t>, along with the diversity of HCPs encountered</w:t>
      </w:r>
      <w:r>
        <w:rPr>
          <w:sz w:val="20"/>
          <w:szCs w:val="20"/>
        </w:rPr>
        <w:t xml:space="preserve"> in flow-through IEX</w:t>
      </w:r>
      <w:r w:rsidR="00210A72">
        <w:rPr>
          <w:sz w:val="20"/>
          <w:szCs w:val="20"/>
        </w:rPr>
        <w:t xml:space="preserve">, currently makes a mechanistic model of HCP clearance elusive. </w:t>
      </w:r>
      <w:r w:rsidR="00D1686E">
        <w:rPr>
          <w:sz w:val="20"/>
          <w:szCs w:val="20"/>
        </w:rPr>
        <w:t>However</w:t>
      </w:r>
      <w:r w:rsidR="00210A72">
        <w:rPr>
          <w:sz w:val="20"/>
          <w:szCs w:val="20"/>
        </w:rPr>
        <w:t>, this work</w:t>
      </w:r>
      <w:r w:rsidR="00E405C2">
        <w:rPr>
          <w:sz w:val="20"/>
          <w:szCs w:val="20"/>
        </w:rPr>
        <w:t xml:space="preserve"> has</w:t>
      </w:r>
      <w:r w:rsidR="00210A72">
        <w:rPr>
          <w:sz w:val="20"/>
          <w:szCs w:val="20"/>
        </w:rPr>
        <w:t xml:space="preserve"> developed</w:t>
      </w:r>
      <w:r>
        <w:rPr>
          <w:sz w:val="20"/>
          <w:szCs w:val="20"/>
        </w:rPr>
        <w:t xml:space="preserve"> general</w:t>
      </w:r>
      <w:r w:rsidR="00210A72">
        <w:rPr>
          <w:sz w:val="20"/>
          <w:szCs w:val="20"/>
        </w:rPr>
        <w:t xml:space="preserve"> insights into the chromatographic behavior of HCPs that persist via weak adsorption. </w:t>
      </w:r>
      <w:r w:rsidR="0076088A">
        <w:rPr>
          <w:sz w:val="20"/>
          <w:szCs w:val="20"/>
        </w:rPr>
        <w:t>The t</w:t>
      </w:r>
      <w:r w:rsidR="00210A72">
        <w:rPr>
          <w:sz w:val="20"/>
          <w:szCs w:val="20"/>
        </w:rPr>
        <w:t xml:space="preserve">hermodynamic and transport contributions to the initial breakthrough volume of </w:t>
      </w:r>
      <w:r w:rsidR="00667621">
        <w:rPr>
          <w:sz w:val="20"/>
          <w:szCs w:val="20"/>
        </w:rPr>
        <w:t xml:space="preserve">dilute impurities were found to be independent, and transport contributions were generalized with the </w:t>
      </w:r>
      <w:r w:rsidR="00667621" w:rsidRPr="001F41F7">
        <w:rPr>
          <w:sz w:val="20"/>
          <w:szCs w:val="20"/>
        </w:rPr>
        <w:t>particle Péclet number</w:t>
      </w:r>
      <w:r w:rsidR="00667621">
        <w:rPr>
          <w:sz w:val="20"/>
          <w:szCs w:val="20"/>
        </w:rPr>
        <w:t xml:space="preserve">. </w:t>
      </w:r>
      <w:r>
        <w:rPr>
          <w:sz w:val="20"/>
          <w:szCs w:val="20"/>
        </w:rPr>
        <w:t>The t</w:t>
      </w:r>
      <w:r w:rsidR="00667621">
        <w:rPr>
          <w:sz w:val="20"/>
          <w:szCs w:val="20"/>
        </w:rPr>
        <w:t>hermodynamic contribution</w:t>
      </w:r>
      <w:r>
        <w:rPr>
          <w:sz w:val="20"/>
          <w:szCs w:val="20"/>
        </w:rPr>
        <w:t xml:space="preserve"> was shown to be a linear dependence on the adsorption equilibrium constant, which is </w:t>
      </w:r>
      <w:r w:rsidR="00667621">
        <w:rPr>
          <w:sz w:val="20"/>
          <w:szCs w:val="20"/>
        </w:rPr>
        <w:t>well</w:t>
      </w:r>
      <w:r>
        <w:rPr>
          <w:sz w:val="20"/>
          <w:szCs w:val="20"/>
        </w:rPr>
        <w:t xml:space="preserve"> </w:t>
      </w:r>
      <w:r w:rsidR="00667621">
        <w:rPr>
          <w:sz w:val="20"/>
          <w:szCs w:val="20"/>
        </w:rPr>
        <w:t>known to follow a power-law in ionic strength</w:t>
      </w:r>
      <w:r>
        <w:rPr>
          <w:sz w:val="20"/>
          <w:szCs w:val="20"/>
        </w:rPr>
        <w:t>. Although p</w:t>
      </w:r>
      <w:r w:rsidR="00667621">
        <w:rPr>
          <w:sz w:val="20"/>
          <w:szCs w:val="20"/>
        </w:rPr>
        <w:t xml:space="preserve">ower-law parameters must be determined </w:t>
      </w:r>
      <w:r w:rsidR="00040439">
        <w:rPr>
          <w:sz w:val="20"/>
          <w:szCs w:val="20"/>
        </w:rPr>
        <w:t>from</w:t>
      </w:r>
      <w:r w:rsidR="00667621">
        <w:rPr>
          <w:sz w:val="20"/>
          <w:szCs w:val="20"/>
        </w:rPr>
        <w:t xml:space="preserve"> experimental data</w:t>
      </w:r>
      <w:r>
        <w:rPr>
          <w:sz w:val="20"/>
          <w:szCs w:val="20"/>
        </w:rPr>
        <w:t>, t</w:t>
      </w:r>
      <w:r w:rsidR="00667621">
        <w:rPr>
          <w:sz w:val="20"/>
          <w:szCs w:val="20"/>
        </w:rPr>
        <w:t xml:space="preserve">he meta-correlation identified here can eliminate one degree of freedom, thereby reducing the burden for approximately estimating adsorption equilibria to a single linear gradient elution experiment. </w:t>
      </w:r>
      <w:r w:rsidR="00C158BB">
        <w:rPr>
          <w:sz w:val="20"/>
          <w:szCs w:val="20"/>
        </w:rPr>
        <w:t>Although approximate, t</w:t>
      </w:r>
      <w:r>
        <w:rPr>
          <w:sz w:val="20"/>
          <w:szCs w:val="20"/>
        </w:rPr>
        <w:t>h</w:t>
      </w:r>
      <w:r w:rsidR="00667621">
        <w:rPr>
          <w:sz w:val="20"/>
          <w:szCs w:val="20"/>
        </w:rPr>
        <w:t xml:space="preserve">ese relationships provide </w:t>
      </w:r>
      <w:r w:rsidR="00963D72">
        <w:rPr>
          <w:sz w:val="20"/>
          <w:szCs w:val="20"/>
        </w:rPr>
        <w:t xml:space="preserve">novel </w:t>
      </w:r>
      <w:r w:rsidR="00667621">
        <w:rPr>
          <w:sz w:val="20"/>
          <w:szCs w:val="20"/>
        </w:rPr>
        <w:t>insights</w:t>
      </w:r>
      <w:r w:rsidR="00963D72">
        <w:rPr>
          <w:sz w:val="20"/>
          <w:szCs w:val="20"/>
        </w:rPr>
        <w:t xml:space="preserve"> into</w:t>
      </w:r>
      <w:r w:rsidR="00667621">
        <w:rPr>
          <w:sz w:val="20"/>
          <w:szCs w:val="20"/>
        </w:rPr>
        <w:t xml:space="preserve"> </w:t>
      </w:r>
      <w:r w:rsidR="00963D72">
        <w:rPr>
          <w:sz w:val="20"/>
          <w:szCs w:val="20"/>
        </w:rPr>
        <w:t>HCP chromatographic behavior, which may assist in the development of improved flow-through processes.</w:t>
      </w:r>
    </w:p>
    <w:p w14:paraId="35606D32" w14:textId="77777777" w:rsidR="00B03466" w:rsidRDefault="00B03466" w:rsidP="00FB2B35">
      <w:pPr>
        <w:jc w:val="both"/>
        <w:rPr>
          <w:b/>
          <w:bCs/>
          <w:sz w:val="20"/>
          <w:szCs w:val="20"/>
        </w:rPr>
      </w:pPr>
    </w:p>
    <w:p w14:paraId="63A02B6C" w14:textId="7F012CC6" w:rsidR="00FB2B35" w:rsidRPr="001F41F7" w:rsidRDefault="00FB2B35" w:rsidP="00FB2B35">
      <w:pPr>
        <w:jc w:val="both"/>
        <w:rPr>
          <w:b/>
          <w:bCs/>
          <w:sz w:val="20"/>
          <w:szCs w:val="20"/>
        </w:rPr>
      </w:pPr>
      <w:r w:rsidRPr="001F41F7">
        <w:rPr>
          <w:b/>
          <w:bCs/>
          <w:sz w:val="20"/>
          <w:szCs w:val="20"/>
        </w:rPr>
        <w:t>Publication status</w:t>
      </w:r>
    </w:p>
    <w:p w14:paraId="2366D9EF" w14:textId="7DEE7916" w:rsidR="00E36D39" w:rsidRPr="00E36D39" w:rsidRDefault="00FB2B35" w:rsidP="00963D72">
      <w:pPr>
        <w:jc w:val="both"/>
        <w:rPr>
          <w:sz w:val="20"/>
          <w:szCs w:val="20"/>
        </w:rPr>
      </w:pPr>
      <w:r w:rsidRPr="001F41F7">
        <w:rPr>
          <w:sz w:val="20"/>
          <w:szCs w:val="20"/>
        </w:rPr>
        <w:t xml:space="preserve">A manuscript based on this work is in preparation. We expect to </w:t>
      </w:r>
      <w:r w:rsidR="00914259">
        <w:rPr>
          <w:sz w:val="20"/>
          <w:szCs w:val="20"/>
        </w:rPr>
        <w:t>submit it</w:t>
      </w:r>
      <w:r w:rsidRPr="001F41F7">
        <w:rPr>
          <w:sz w:val="20"/>
          <w:szCs w:val="20"/>
        </w:rPr>
        <w:t xml:space="preserve"> to the Journal of Chromatography A by </w:t>
      </w:r>
      <w:r w:rsidR="00914259">
        <w:rPr>
          <w:sz w:val="20"/>
          <w:szCs w:val="20"/>
        </w:rPr>
        <w:t>9/30</w:t>
      </w:r>
      <w:r w:rsidRPr="001F41F7">
        <w:rPr>
          <w:sz w:val="20"/>
          <w:szCs w:val="20"/>
        </w:rPr>
        <w:t xml:space="preserve">/21. </w:t>
      </w:r>
    </w:p>
    <w:sectPr w:rsidR="00E36D39" w:rsidRPr="00E36D39" w:rsidSect="00DA605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2114" w14:textId="77777777" w:rsidR="00B71C96" w:rsidRDefault="00B71C96" w:rsidP="00891874">
      <w:pPr>
        <w:spacing w:line="240" w:lineRule="auto"/>
      </w:pPr>
      <w:r>
        <w:separator/>
      </w:r>
    </w:p>
  </w:endnote>
  <w:endnote w:type="continuationSeparator" w:id="0">
    <w:p w14:paraId="545418C8" w14:textId="77777777" w:rsidR="00B71C96" w:rsidRDefault="00B71C96" w:rsidP="00891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5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CA984" w14:textId="777C897A" w:rsidR="00EC6811" w:rsidRDefault="00EC68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1C75EA" w14:textId="77777777" w:rsidR="00EC6811" w:rsidRDefault="00EC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73C7" w14:textId="77777777" w:rsidR="00B71C96" w:rsidRDefault="00B71C96" w:rsidP="00891874">
      <w:pPr>
        <w:spacing w:line="240" w:lineRule="auto"/>
      </w:pPr>
      <w:r>
        <w:separator/>
      </w:r>
    </w:p>
  </w:footnote>
  <w:footnote w:type="continuationSeparator" w:id="0">
    <w:p w14:paraId="66EAB63E" w14:textId="77777777" w:rsidR="00B71C96" w:rsidRDefault="00B71C96" w:rsidP="008918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31D3C"/>
    <w:multiLevelType w:val="hybridMultilevel"/>
    <w:tmpl w:val="5FBC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AD"/>
    <w:rsid w:val="000004D5"/>
    <w:rsid w:val="000009A5"/>
    <w:rsid w:val="00003FE0"/>
    <w:rsid w:val="00007645"/>
    <w:rsid w:val="00007FD5"/>
    <w:rsid w:val="00011A7D"/>
    <w:rsid w:val="00016B38"/>
    <w:rsid w:val="000177C1"/>
    <w:rsid w:val="0003015A"/>
    <w:rsid w:val="00030694"/>
    <w:rsid w:val="00030E19"/>
    <w:rsid w:val="00031BF9"/>
    <w:rsid w:val="00031C32"/>
    <w:rsid w:val="00036C05"/>
    <w:rsid w:val="00040439"/>
    <w:rsid w:val="000438B8"/>
    <w:rsid w:val="00045D61"/>
    <w:rsid w:val="00061823"/>
    <w:rsid w:val="00066D35"/>
    <w:rsid w:val="0007412F"/>
    <w:rsid w:val="00082491"/>
    <w:rsid w:val="00085F96"/>
    <w:rsid w:val="00086E42"/>
    <w:rsid w:val="000977DC"/>
    <w:rsid w:val="000A1788"/>
    <w:rsid w:val="000B3652"/>
    <w:rsid w:val="000B67E1"/>
    <w:rsid w:val="000C004D"/>
    <w:rsid w:val="000C25C2"/>
    <w:rsid w:val="000C3EBC"/>
    <w:rsid w:val="000C52A2"/>
    <w:rsid w:val="000D1918"/>
    <w:rsid w:val="000D4820"/>
    <w:rsid w:val="000E4B72"/>
    <w:rsid w:val="000F1481"/>
    <w:rsid w:val="000F4B66"/>
    <w:rsid w:val="001014C4"/>
    <w:rsid w:val="001060BC"/>
    <w:rsid w:val="0011611F"/>
    <w:rsid w:val="00122ACF"/>
    <w:rsid w:val="00124905"/>
    <w:rsid w:val="0013257A"/>
    <w:rsid w:val="00146A3E"/>
    <w:rsid w:val="0016171E"/>
    <w:rsid w:val="001618BC"/>
    <w:rsid w:val="00171E41"/>
    <w:rsid w:val="00174BBE"/>
    <w:rsid w:val="001777E7"/>
    <w:rsid w:val="001850AF"/>
    <w:rsid w:val="001862BA"/>
    <w:rsid w:val="001863D8"/>
    <w:rsid w:val="0018667A"/>
    <w:rsid w:val="001A09E6"/>
    <w:rsid w:val="001A0F3D"/>
    <w:rsid w:val="001A17A4"/>
    <w:rsid w:val="001A7A12"/>
    <w:rsid w:val="001B24E0"/>
    <w:rsid w:val="001C25BB"/>
    <w:rsid w:val="001C7E5D"/>
    <w:rsid w:val="001D0B9B"/>
    <w:rsid w:val="001D1043"/>
    <w:rsid w:val="001E026B"/>
    <w:rsid w:val="001E0CF7"/>
    <w:rsid w:val="001E4DC0"/>
    <w:rsid w:val="001E73CD"/>
    <w:rsid w:val="001F41F7"/>
    <w:rsid w:val="0020285D"/>
    <w:rsid w:val="00203D59"/>
    <w:rsid w:val="0020649C"/>
    <w:rsid w:val="00210A72"/>
    <w:rsid w:val="002159B3"/>
    <w:rsid w:val="002170EB"/>
    <w:rsid w:val="002204F4"/>
    <w:rsid w:val="0022506B"/>
    <w:rsid w:val="00234919"/>
    <w:rsid w:val="00242027"/>
    <w:rsid w:val="00261D35"/>
    <w:rsid w:val="00263FEE"/>
    <w:rsid w:val="00271168"/>
    <w:rsid w:val="00280D2D"/>
    <w:rsid w:val="002810A2"/>
    <w:rsid w:val="00283E62"/>
    <w:rsid w:val="0029109F"/>
    <w:rsid w:val="002950CB"/>
    <w:rsid w:val="002A5551"/>
    <w:rsid w:val="002A69DD"/>
    <w:rsid w:val="002B2DE1"/>
    <w:rsid w:val="002B6162"/>
    <w:rsid w:val="002B7C8E"/>
    <w:rsid w:val="002E21D6"/>
    <w:rsid w:val="002E5C91"/>
    <w:rsid w:val="002F078C"/>
    <w:rsid w:val="002F0B41"/>
    <w:rsid w:val="002F5604"/>
    <w:rsid w:val="002F7E38"/>
    <w:rsid w:val="0031588C"/>
    <w:rsid w:val="003174C4"/>
    <w:rsid w:val="00327321"/>
    <w:rsid w:val="003337F0"/>
    <w:rsid w:val="00341DF9"/>
    <w:rsid w:val="0034437B"/>
    <w:rsid w:val="00355C1A"/>
    <w:rsid w:val="0036485B"/>
    <w:rsid w:val="00383712"/>
    <w:rsid w:val="00387002"/>
    <w:rsid w:val="00387CDB"/>
    <w:rsid w:val="00394D11"/>
    <w:rsid w:val="00397F01"/>
    <w:rsid w:val="003A0F7F"/>
    <w:rsid w:val="003A6F13"/>
    <w:rsid w:val="003D1345"/>
    <w:rsid w:val="003D1F8D"/>
    <w:rsid w:val="003D3EC8"/>
    <w:rsid w:val="003D493A"/>
    <w:rsid w:val="003D6C05"/>
    <w:rsid w:val="003D7C20"/>
    <w:rsid w:val="003E5A6E"/>
    <w:rsid w:val="003F5054"/>
    <w:rsid w:val="00401D53"/>
    <w:rsid w:val="00401FA3"/>
    <w:rsid w:val="00404525"/>
    <w:rsid w:val="004104E2"/>
    <w:rsid w:val="004268A4"/>
    <w:rsid w:val="004316F8"/>
    <w:rsid w:val="00434FE2"/>
    <w:rsid w:val="004438AE"/>
    <w:rsid w:val="004533C7"/>
    <w:rsid w:val="004566DD"/>
    <w:rsid w:val="00457A02"/>
    <w:rsid w:val="00463F49"/>
    <w:rsid w:val="00471FDF"/>
    <w:rsid w:val="004755F9"/>
    <w:rsid w:val="00484841"/>
    <w:rsid w:val="00490399"/>
    <w:rsid w:val="00494B64"/>
    <w:rsid w:val="004A33EF"/>
    <w:rsid w:val="004A6211"/>
    <w:rsid w:val="004D364D"/>
    <w:rsid w:val="004D53EC"/>
    <w:rsid w:val="004D70E2"/>
    <w:rsid w:val="004E21EE"/>
    <w:rsid w:val="004E4F54"/>
    <w:rsid w:val="004F6D21"/>
    <w:rsid w:val="005013A5"/>
    <w:rsid w:val="00525BB7"/>
    <w:rsid w:val="00526800"/>
    <w:rsid w:val="00527C67"/>
    <w:rsid w:val="00535982"/>
    <w:rsid w:val="00562F3D"/>
    <w:rsid w:val="00563762"/>
    <w:rsid w:val="005706EF"/>
    <w:rsid w:val="00571344"/>
    <w:rsid w:val="00574915"/>
    <w:rsid w:val="00575DDF"/>
    <w:rsid w:val="005800B4"/>
    <w:rsid w:val="00586017"/>
    <w:rsid w:val="0059460B"/>
    <w:rsid w:val="005A16CE"/>
    <w:rsid w:val="005A3D4A"/>
    <w:rsid w:val="005A5E2F"/>
    <w:rsid w:val="005B1620"/>
    <w:rsid w:val="005B3BC9"/>
    <w:rsid w:val="005B4E70"/>
    <w:rsid w:val="005C03AC"/>
    <w:rsid w:val="005C2251"/>
    <w:rsid w:val="005C30F9"/>
    <w:rsid w:val="005C32E2"/>
    <w:rsid w:val="005D3134"/>
    <w:rsid w:val="005D7523"/>
    <w:rsid w:val="005E689C"/>
    <w:rsid w:val="005E7587"/>
    <w:rsid w:val="005F1175"/>
    <w:rsid w:val="005F4177"/>
    <w:rsid w:val="005F60B5"/>
    <w:rsid w:val="005F77A6"/>
    <w:rsid w:val="00601104"/>
    <w:rsid w:val="006041BC"/>
    <w:rsid w:val="00604F6B"/>
    <w:rsid w:val="00616828"/>
    <w:rsid w:val="006217CF"/>
    <w:rsid w:val="00631CFC"/>
    <w:rsid w:val="006338F1"/>
    <w:rsid w:val="0063641F"/>
    <w:rsid w:val="00641CE1"/>
    <w:rsid w:val="00643BD2"/>
    <w:rsid w:val="00655CA2"/>
    <w:rsid w:val="00662EE2"/>
    <w:rsid w:val="00667621"/>
    <w:rsid w:val="00673F3E"/>
    <w:rsid w:val="0068011D"/>
    <w:rsid w:val="00680F0E"/>
    <w:rsid w:val="00681B5B"/>
    <w:rsid w:val="006864FF"/>
    <w:rsid w:val="006A1626"/>
    <w:rsid w:val="006A2CFB"/>
    <w:rsid w:val="006A71F4"/>
    <w:rsid w:val="006B1F96"/>
    <w:rsid w:val="006B371C"/>
    <w:rsid w:val="006B593E"/>
    <w:rsid w:val="006B7561"/>
    <w:rsid w:val="006D5BC2"/>
    <w:rsid w:val="006E105F"/>
    <w:rsid w:val="006E128A"/>
    <w:rsid w:val="006E5EBE"/>
    <w:rsid w:val="006F0291"/>
    <w:rsid w:val="006F19FC"/>
    <w:rsid w:val="006F5B31"/>
    <w:rsid w:val="00711BD6"/>
    <w:rsid w:val="00712968"/>
    <w:rsid w:val="007178AB"/>
    <w:rsid w:val="00720F2C"/>
    <w:rsid w:val="00722829"/>
    <w:rsid w:val="007240DB"/>
    <w:rsid w:val="0072502C"/>
    <w:rsid w:val="00725355"/>
    <w:rsid w:val="00726661"/>
    <w:rsid w:val="00732F18"/>
    <w:rsid w:val="00734249"/>
    <w:rsid w:val="00740EC6"/>
    <w:rsid w:val="007441EF"/>
    <w:rsid w:val="007461E3"/>
    <w:rsid w:val="00755EE9"/>
    <w:rsid w:val="0076088A"/>
    <w:rsid w:val="00765E1F"/>
    <w:rsid w:val="007664E6"/>
    <w:rsid w:val="00770300"/>
    <w:rsid w:val="00773809"/>
    <w:rsid w:val="00774AF7"/>
    <w:rsid w:val="0077548E"/>
    <w:rsid w:val="00787C66"/>
    <w:rsid w:val="0079028C"/>
    <w:rsid w:val="00790827"/>
    <w:rsid w:val="007A16CC"/>
    <w:rsid w:val="007A25A4"/>
    <w:rsid w:val="007B73BA"/>
    <w:rsid w:val="007C4ECF"/>
    <w:rsid w:val="007E02F1"/>
    <w:rsid w:val="007E36F2"/>
    <w:rsid w:val="007E37E9"/>
    <w:rsid w:val="007F12FB"/>
    <w:rsid w:val="00806687"/>
    <w:rsid w:val="00811921"/>
    <w:rsid w:val="00816117"/>
    <w:rsid w:val="008375D8"/>
    <w:rsid w:val="00852107"/>
    <w:rsid w:val="008652A6"/>
    <w:rsid w:val="00865E8E"/>
    <w:rsid w:val="00866A6C"/>
    <w:rsid w:val="00867D60"/>
    <w:rsid w:val="00867F2C"/>
    <w:rsid w:val="00870F20"/>
    <w:rsid w:val="008716D8"/>
    <w:rsid w:val="00876D2B"/>
    <w:rsid w:val="008832DB"/>
    <w:rsid w:val="00891874"/>
    <w:rsid w:val="00892EE1"/>
    <w:rsid w:val="008A0D76"/>
    <w:rsid w:val="008A2C32"/>
    <w:rsid w:val="008B030A"/>
    <w:rsid w:val="008B3691"/>
    <w:rsid w:val="008B3F95"/>
    <w:rsid w:val="008B4BE7"/>
    <w:rsid w:val="008B5256"/>
    <w:rsid w:val="008B6000"/>
    <w:rsid w:val="008B7AA1"/>
    <w:rsid w:val="008C167E"/>
    <w:rsid w:val="008C4311"/>
    <w:rsid w:val="008C56B4"/>
    <w:rsid w:val="008D5250"/>
    <w:rsid w:val="008E59A4"/>
    <w:rsid w:val="008E5C7D"/>
    <w:rsid w:val="008E7D1A"/>
    <w:rsid w:val="0090310F"/>
    <w:rsid w:val="00914259"/>
    <w:rsid w:val="00917D4D"/>
    <w:rsid w:val="00922DB2"/>
    <w:rsid w:val="00924CBA"/>
    <w:rsid w:val="009253E8"/>
    <w:rsid w:val="0093389C"/>
    <w:rsid w:val="00942954"/>
    <w:rsid w:val="00947AA7"/>
    <w:rsid w:val="00963D72"/>
    <w:rsid w:val="009645B3"/>
    <w:rsid w:val="00965FCA"/>
    <w:rsid w:val="00980047"/>
    <w:rsid w:val="009A23C7"/>
    <w:rsid w:val="009B19BF"/>
    <w:rsid w:val="009C1938"/>
    <w:rsid w:val="009D4003"/>
    <w:rsid w:val="009E266A"/>
    <w:rsid w:val="009E4A79"/>
    <w:rsid w:val="009E72DC"/>
    <w:rsid w:val="009E789E"/>
    <w:rsid w:val="009E7C68"/>
    <w:rsid w:val="009F0094"/>
    <w:rsid w:val="009F0ABC"/>
    <w:rsid w:val="009F2A5E"/>
    <w:rsid w:val="009F2B59"/>
    <w:rsid w:val="00A00756"/>
    <w:rsid w:val="00A14B6B"/>
    <w:rsid w:val="00A31259"/>
    <w:rsid w:val="00A456E4"/>
    <w:rsid w:val="00A6413E"/>
    <w:rsid w:val="00A64463"/>
    <w:rsid w:val="00A71B8A"/>
    <w:rsid w:val="00A769A1"/>
    <w:rsid w:val="00A97174"/>
    <w:rsid w:val="00AA17CC"/>
    <w:rsid w:val="00AB1C6C"/>
    <w:rsid w:val="00AB272A"/>
    <w:rsid w:val="00AB378B"/>
    <w:rsid w:val="00AC06BA"/>
    <w:rsid w:val="00AC25C7"/>
    <w:rsid w:val="00AD2D54"/>
    <w:rsid w:val="00AD5C0A"/>
    <w:rsid w:val="00AD6D12"/>
    <w:rsid w:val="00AE0B28"/>
    <w:rsid w:val="00AF53BF"/>
    <w:rsid w:val="00B03466"/>
    <w:rsid w:val="00B278E3"/>
    <w:rsid w:val="00B34664"/>
    <w:rsid w:val="00B376DF"/>
    <w:rsid w:val="00B42AE0"/>
    <w:rsid w:val="00B45906"/>
    <w:rsid w:val="00B46833"/>
    <w:rsid w:val="00B56A7A"/>
    <w:rsid w:val="00B64B36"/>
    <w:rsid w:val="00B66DED"/>
    <w:rsid w:val="00B70A2C"/>
    <w:rsid w:val="00B71C96"/>
    <w:rsid w:val="00B76C1A"/>
    <w:rsid w:val="00B812EA"/>
    <w:rsid w:val="00BB580E"/>
    <w:rsid w:val="00BC139F"/>
    <w:rsid w:val="00BC5EC1"/>
    <w:rsid w:val="00BD33B0"/>
    <w:rsid w:val="00BD3C1F"/>
    <w:rsid w:val="00BD50A9"/>
    <w:rsid w:val="00BE0500"/>
    <w:rsid w:val="00BE59BB"/>
    <w:rsid w:val="00BE6B65"/>
    <w:rsid w:val="00BE6DB9"/>
    <w:rsid w:val="00BF64E2"/>
    <w:rsid w:val="00BF6B1D"/>
    <w:rsid w:val="00C158BB"/>
    <w:rsid w:val="00C15A11"/>
    <w:rsid w:val="00C32011"/>
    <w:rsid w:val="00C420BA"/>
    <w:rsid w:val="00C832F6"/>
    <w:rsid w:val="00C9038A"/>
    <w:rsid w:val="00C91656"/>
    <w:rsid w:val="00CA7308"/>
    <w:rsid w:val="00CA7AF3"/>
    <w:rsid w:val="00CB028D"/>
    <w:rsid w:val="00CB51FB"/>
    <w:rsid w:val="00CB5A40"/>
    <w:rsid w:val="00CB6B1C"/>
    <w:rsid w:val="00CC1DD3"/>
    <w:rsid w:val="00CC320F"/>
    <w:rsid w:val="00CC5514"/>
    <w:rsid w:val="00CC7805"/>
    <w:rsid w:val="00CC7968"/>
    <w:rsid w:val="00CD3436"/>
    <w:rsid w:val="00CD7309"/>
    <w:rsid w:val="00CE4FE5"/>
    <w:rsid w:val="00CE7163"/>
    <w:rsid w:val="00CF0501"/>
    <w:rsid w:val="00CF3940"/>
    <w:rsid w:val="00CF4395"/>
    <w:rsid w:val="00D13215"/>
    <w:rsid w:val="00D1686E"/>
    <w:rsid w:val="00D16CA1"/>
    <w:rsid w:val="00D34C1D"/>
    <w:rsid w:val="00D4375E"/>
    <w:rsid w:val="00D47874"/>
    <w:rsid w:val="00D47C48"/>
    <w:rsid w:val="00D50967"/>
    <w:rsid w:val="00D54E2C"/>
    <w:rsid w:val="00D56B61"/>
    <w:rsid w:val="00D666EF"/>
    <w:rsid w:val="00D76EBF"/>
    <w:rsid w:val="00D866A1"/>
    <w:rsid w:val="00D918D6"/>
    <w:rsid w:val="00D927FC"/>
    <w:rsid w:val="00D94AA1"/>
    <w:rsid w:val="00D97DAB"/>
    <w:rsid w:val="00DA6058"/>
    <w:rsid w:val="00DB43D8"/>
    <w:rsid w:val="00DC13FA"/>
    <w:rsid w:val="00DC7CE9"/>
    <w:rsid w:val="00DD7984"/>
    <w:rsid w:val="00DF3CD5"/>
    <w:rsid w:val="00E14286"/>
    <w:rsid w:val="00E168E9"/>
    <w:rsid w:val="00E174F2"/>
    <w:rsid w:val="00E23605"/>
    <w:rsid w:val="00E24E27"/>
    <w:rsid w:val="00E36D39"/>
    <w:rsid w:val="00E405C2"/>
    <w:rsid w:val="00E44BAB"/>
    <w:rsid w:val="00E4582D"/>
    <w:rsid w:val="00E47C1C"/>
    <w:rsid w:val="00E52109"/>
    <w:rsid w:val="00E52BB1"/>
    <w:rsid w:val="00E5599A"/>
    <w:rsid w:val="00E62180"/>
    <w:rsid w:val="00E64A82"/>
    <w:rsid w:val="00E7315A"/>
    <w:rsid w:val="00E75D57"/>
    <w:rsid w:val="00E8328B"/>
    <w:rsid w:val="00E90117"/>
    <w:rsid w:val="00E9391A"/>
    <w:rsid w:val="00E94745"/>
    <w:rsid w:val="00E96581"/>
    <w:rsid w:val="00EA34D6"/>
    <w:rsid w:val="00EC2385"/>
    <w:rsid w:val="00EC302C"/>
    <w:rsid w:val="00EC6811"/>
    <w:rsid w:val="00ED7873"/>
    <w:rsid w:val="00EF0EB9"/>
    <w:rsid w:val="00EF3C5C"/>
    <w:rsid w:val="00EF5277"/>
    <w:rsid w:val="00F00887"/>
    <w:rsid w:val="00F01E49"/>
    <w:rsid w:val="00F02047"/>
    <w:rsid w:val="00F105A9"/>
    <w:rsid w:val="00F10C4E"/>
    <w:rsid w:val="00F11138"/>
    <w:rsid w:val="00F165E4"/>
    <w:rsid w:val="00F23184"/>
    <w:rsid w:val="00F4505F"/>
    <w:rsid w:val="00F5163F"/>
    <w:rsid w:val="00F52B69"/>
    <w:rsid w:val="00F545FA"/>
    <w:rsid w:val="00F568C7"/>
    <w:rsid w:val="00F7713D"/>
    <w:rsid w:val="00F80D1E"/>
    <w:rsid w:val="00F92BC6"/>
    <w:rsid w:val="00FB0A93"/>
    <w:rsid w:val="00FB2B35"/>
    <w:rsid w:val="00FB2D4F"/>
    <w:rsid w:val="00FB36FF"/>
    <w:rsid w:val="00FB70AD"/>
    <w:rsid w:val="00FD3421"/>
    <w:rsid w:val="00FE22E7"/>
    <w:rsid w:val="00FE2BBC"/>
    <w:rsid w:val="00FE5ED5"/>
    <w:rsid w:val="00FF1C60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00E4"/>
  <w15:chartTrackingRefBased/>
  <w15:docId w15:val="{F8CCE3F9-949B-4BC9-BE55-78CE3E5F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37F0"/>
    <w:pPr>
      <w:spacing w:line="276" w:lineRule="auto"/>
      <w:jc w:val="both"/>
    </w:pPr>
    <w:rPr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337F0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1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74"/>
  </w:style>
  <w:style w:type="paragraph" w:styleId="Footer">
    <w:name w:val="footer"/>
    <w:basedOn w:val="Normal"/>
    <w:link w:val="FooterChar"/>
    <w:uiPriority w:val="99"/>
    <w:unhideWhenUsed/>
    <w:rsid w:val="00891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74"/>
  </w:style>
  <w:style w:type="paragraph" w:styleId="ListParagraph">
    <w:name w:val="List Paragraph"/>
    <w:basedOn w:val="Normal"/>
    <w:uiPriority w:val="34"/>
    <w:qFormat/>
    <w:rsid w:val="008918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F41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F64E2"/>
    <w:pPr>
      <w:spacing w:line="240" w:lineRule="auto"/>
    </w:pPr>
    <w:rPr>
      <w:rFonts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1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3DFD7-73E4-42C2-AB22-2A7670CE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Herman</dc:creator>
  <cp:keywords/>
  <dc:description/>
  <cp:lastModifiedBy>Chase Herman</cp:lastModifiedBy>
  <cp:revision>50</cp:revision>
  <cp:lastPrinted>2021-07-29T13:47:00Z</cp:lastPrinted>
  <dcterms:created xsi:type="dcterms:W3CDTF">2021-07-27T19:43:00Z</dcterms:created>
  <dcterms:modified xsi:type="dcterms:W3CDTF">2021-07-29T13:50:00Z</dcterms:modified>
</cp:coreProperties>
</file>