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ofg84avwo1w" w:id="0"/>
      <w:bookmarkEnd w:id="0"/>
      <w:r w:rsidDel="00000000" w:rsidR="00000000" w:rsidRPr="00000000">
        <w:rPr>
          <w:rtl w:val="0"/>
        </w:rPr>
        <w:t xml:space="preserve">MANUAL TECNICO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5d5nyrrgawv" w:id="1"/>
      <w:bookmarkEnd w:id="1"/>
      <w:r w:rsidDel="00000000" w:rsidR="00000000" w:rsidRPr="00000000">
        <w:rPr>
          <w:rtl w:val="0"/>
        </w:rPr>
        <w:t xml:space="preserve">Compilador MASM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El compilador MASM es propio de Microsoft con la denominación Macro Assembler, es un lenguaje de bajo nivel y es usado para realizar aplicaciones o programas en el lenguaje assembler o lenguaje ensamblador.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Microsoft Assembler (comúnmente conocido como MASM) es una herramienta de desarrollo de software industrial que ha sido mantenida y actualizada durante más de 30 años por un importante proveedor de sistemas operativos. Nunca se ha suavizado o comprometido en una herramienta amigable para el consumidor y está diseñado para ser utilizado por programadores profesionales para código de nivel de sistema operativo y módulos de objetos de alto rendimiento, archivos ejecutables y bibliotecas de enlaces dinámicos.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jc w:val="both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hn2ep7z79b3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bookmarkStart w:colFirst="0" w:colLast="0" w:name="_e3lsppjep6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bookmarkStart w:colFirst="0" w:colLast="0" w:name="_a6he4gxzddn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g3htim1ge9w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h3bxqxagq6o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/>
      </w:pPr>
      <w:bookmarkStart w:colFirst="0" w:colLast="0" w:name="_f98tz0494oq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rmsgd2obgevg" w:id="8"/>
      <w:bookmarkEnd w:id="8"/>
      <w:r w:rsidDel="00000000" w:rsidR="00000000" w:rsidRPr="00000000">
        <w:rPr>
          <w:rtl w:val="0"/>
        </w:rPr>
        <w:t xml:space="preserve">Precedencia de Operadores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Para poder aplicar la precedencia de operadores, se convierte la cadena de entrada en postfijo, usando como auxiliar el stack, para posteriormente operar el postfijo tambien utilizando el stack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30841" cy="4776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841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fyr5oo9109f7" w:id="9"/>
      <w:bookmarkEnd w:id="9"/>
      <w:r w:rsidDel="00000000" w:rsidR="00000000" w:rsidRPr="00000000">
        <w:rPr>
          <w:rtl w:val="0"/>
        </w:rPr>
        <w:t xml:space="preserve">Escala para las Graficas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 utiliza una ecuacion linea para transladar el eje de la pantalla al centro, a su vez se utiliza esta misma ecuacion para poder disminuir los grandes valores que obtienen de las funciones a evaluar y que no superen el tamaño de la pantalla 320x200.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633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Carlos Eduardo Hernandez Molina</w:t>
      <w:tab/>
      <w:tab/>
      <w:tab/>
      <w:tab/>
      <w:tab/>
      <w:tab/>
      <w:tab/>
      <w:t xml:space="preserve">201612118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