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p>
        </w:tc>
        <w:tc>
          <w:tcPr>
            <w:tcW w:type="dxa" w:w="5040"/>
          </w:tcPr>
          <w:p>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4 OF 12</w:t>
            </w:r>
          </w:p>
        </w:tc>
      </w:tr>
    </w:tbl>
    <w:p/>
    <w:p>
      <w:pPr>
        <w:pStyle w:val="Heading1"/>
      </w:pPr>
      <w:r>
        <w:t>Product and Code</w:t>
      </w:r>
    </w:p>
    <w:p>
      <w:r>
        <w:t>The procedure was carried out as indicated in the AMV/R/20251016 protocol, for the tests: Identification by TITRATION, Assessment by TITRATION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0.11%</w:t>
            </w:r>
          </w:p>
        </w:tc>
      </w:tr>
      <w:tr>
        <w:tc>
          <w:tcPr>
            <w:tcW w:type="dxa" w:w="2520"/>
          </w:tcPr>
          <w:p>
            <w:r/>
          </w:p>
        </w:tc>
        <w:tc>
          <w:tcPr>
            <w:tcW w:type="dxa" w:w="2520"/>
          </w:tcPr>
          <w:p>
            <w:r>
              <w:t>Area CV</w:t>
            </w:r>
          </w:p>
        </w:tc>
        <w:tc>
          <w:tcPr>
            <w:tcW w:type="dxa" w:w="2520"/>
          </w:tcPr>
          <w:p>
            <w:r>
              <w:t>CV &lt; 2.00%</w:t>
            </w:r>
          </w:p>
        </w:tc>
        <w:tc>
          <w:tcPr>
            <w:tcW w:type="dxa" w:w="2520"/>
          </w:tcPr>
          <w:p>
            <w:r>
              <w:t>0.19%</w:t>
            </w:r>
          </w:p>
        </w:tc>
      </w:tr>
      <w:tr>
        <w:tc>
          <w:tcPr>
            <w:tcW w:type="dxa" w:w="2520"/>
          </w:tcPr>
          <w:p>
            <w:r/>
          </w:p>
        </w:tc>
        <w:tc>
          <w:tcPr>
            <w:tcW w:type="dxa" w:w="2520"/>
          </w:tcPr>
          <w:p>
            <w:r>
              <w:t>Tailing Factor (T)</w:t>
            </w:r>
          </w:p>
        </w:tc>
        <w:tc>
          <w:tcPr>
            <w:tcW w:type="dxa" w:w="2520"/>
          </w:tcPr>
          <w:p>
            <w:r>
              <w:t>0.80 &lt; T &lt; 2.00</w:t>
            </w:r>
          </w:p>
        </w:tc>
        <w:tc>
          <w:tcPr>
            <w:tcW w:type="dxa" w:w="2520"/>
          </w:tcPr>
          <w:p>
            <w:r>
              <w:t>1.09</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1274178</w:t>
            </w:r>
          </w:p>
        </w:tc>
      </w:tr>
      <w:tr>
        <w:tc>
          <w:tcPr>
            <w:tcW w:type="dxa" w:w="3360"/>
          </w:tcPr>
          <w:p>
            <w:r>
              <w:t>Coefficient of Variation of Areas</w:t>
            </w:r>
          </w:p>
        </w:tc>
        <w:tc>
          <w:tcPr>
            <w:tcW w:type="dxa" w:w="3360"/>
          </w:tcPr>
          <w:p>
            <w:r>
              <w:t>CV &lt; 2.00%</w:t>
            </w:r>
          </w:p>
        </w:tc>
        <w:tc>
          <w:tcPr>
            <w:tcW w:type="dxa" w:w="3360"/>
          </w:tcPr>
          <w:p>
            <w:r>
              <w:t>0.2%</w:t>
            </w:r>
          </w:p>
        </w:tc>
      </w:tr>
      <w:tr>
        <w:tc>
          <w:tcPr>
            <w:tcW w:type="dxa" w:w="3360"/>
          </w:tcPr>
          <w:p>
            <w:r>
              <w:t>Average Retention Time</w:t>
            </w:r>
          </w:p>
        </w:tc>
        <w:tc>
          <w:tcPr>
            <w:tcW w:type="dxa" w:w="3360"/>
          </w:tcPr>
          <w:p>
            <w:r>
              <w:t>--</w:t>
            </w:r>
          </w:p>
        </w:tc>
        <w:tc>
          <w:tcPr>
            <w:tcW w:type="dxa" w:w="3360"/>
          </w:tcPr>
          <w:p>
            <w:r>
              <w:t>4.667</w:t>
            </w:r>
          </w:p>
        </w:tc>
      </w:tr>
      <w:tr>
        <w:tc>
          <w:tcPr>
            <w:tcW w:type="dxa" w:w="3360"/>
          </w:tcPr>
          <w:p>
            <w:r>
              <w:t>Coefficient of Variation of RT</w:t>
            </w:r>
          </w:p>
        </w:tc>
        <w:tc>
          <w:tcPr>
            <w:tcW w:type="dxa" w:w="3360"/>
          </w:tcPr>
          <w:p>
            <w:r>
              <w:t>CV &lt; 1.00%</w:t>
            </w:r>
          </w:p>
        </w:tc>
        <w:tc>
          <w:tcPr>
            <w:tcW w:type="dxa" w:w="3360"/>
          </w:tcPr>
          <w:p>
            <w:r>
              <w:t>0.05%</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50.0mg/Tab</w:t>
            </w:r>
          </w:p>
        </w:tc>
      </w:tr>
      <w:tr>
        <w:tc>
          <w:tcPr>
            <w:tcW w:type="dxa" w:w="3360"/>
          </w:tcPr>
          <w:p>
            <w:r>
              <w:t>Standard Deviation (s)</w:t>
            </w:r>
          </w:p>
        </w:tc>
        <w:tc>
          <w:tcPr>
            <w:tcW w:type="dxa" w:w="3360"/>
          </w:tcPr>
          <w:p>
            <w:r>
              <w:t>--</w:t>
            </w:r>
          </w:p>
        </w:tc>
        <w:tc>
          <w:tcPr>
            <w:tcW w:type="dxa" w:w="3360"/>
          </w:tcPr>
          <w:p>
            <w:r>
              <w:t>0.056</w:t>
            </w:r>
          </w:p>
        </w:tc>
      </w:tr>
      <w:tr>
        <w:tc>
          <w:tcPr>
            <w:tcW w:type="dxa" w:w="3360"/>
          </w:tcPr>
          <w:p>
            <w:r>
              <w:t>Variation Coefficient (%CV)</w:t>
            </w:r>
          </w:p>
        </w:tc>
        <w:tc>
          <w:tcPr>
            <w:tcW w:type="dxa" w:w="3360"/>
          </w:tcPr>
          <w:p>
            <w:r>
              <w:t>CV &lt; 2.00%</w:t>
            </w:r>
          </w:p>
        </w:tc>
        <w:tc>
          <w:tcPr>
            <w:tcW w:type="dxa" w:w="3360"/>
          </w:tcPr>
          <w:p>
            <w:r>
              <w:t>0.11%</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49.99mg/Tab</w:t>
              <w:br/>
              <w:t>CV: 0.12%</w:t>
            </w:r>
          </w:p>
        </w:tc>
      </w:tr>
      <w:tr>
        <w:tc>
          <w:tcPr>
            <w:tcW w:type="dxa" w:w="3360"/>
          </w:tcPr>
          <w:p>
            <w:r>
              <w:t>Day 1 - Analyst 2 (Average Concentration)</w:t>
            </w:r>
          </w:p>
        </w:tc>
        <w:tc>
          <w:tcPr>
            <w:tcW w:type="dxa" w:w="3360"/>
          </w:tcPr>
          <w:p>
            <w:r>
              <w:t>CV &lt; 2.00%</w:t>
            </w:r>
          </w:p>
        </w:tc>
        <w:tc>
          <w:tcPr>
            <w:tcW w:type="dxa" w:w="3360"/>
          </w:tcPr>
          <w:p>
            <w:r>
              <w:t>50.0mg/Tab</w:t>
              <w:br/>
              <w:t>CV: 0.14%</w:t>
            </w:r>
          </w:p>
        </w:tc>
      </w:tr>
      <w:tr>
        <w:tc>
          <w:tcPr>
            <w:tcW w:type="dxa" w:w="3360"/>
          </w:tcPr>
          <w:p>
            <w:r>
              <w:t>Global Coefficient of Variation (Day 1)</w:t>
            </w:r>
          </w:p>
        </w:tc>
        <w:tc>
          <w:tcPr>
            <w:tcW w:type="dxa" w:w="3360"/>
          </w:tcPr>
          <w:p>
            <w:r>
              <w:t>CV &lt; 3.00%</w:t>
            </w:r>
          </w:p>
        </w:tc>
        <w:tc>
          <w:tcPr>
            <w:tcW w:type="dxa" w:w="3360"/>
          </w:tcPr>
          <w:p>
            <w:r>
              <w:t>0.13%</w:t>
            </w:r>
          </w:p>
        </w:tc>
      </w:tr>
      <w:tr>
        <w:tc>
          <w:tcPr>
            <w:tcW w:type="dxa" w:w="3360"/>
          </w:tcPr>
          <w:p>
            <w:r>
              <w:t>Day 2 - Analyst 1 (Average Concentration)</w:t>
            </w:r>
          </w:p>
        </w:tc>
        <w:tc>
          <w:tcPr>
            <w:tcW w:type="dxa" w:w="3360"/>
          </w:tcPr>
          <w:p>
            <w:r>
              <w:t>CV &lt; 2.00%</w:t>
            </w:r>
          </w:p>
        </w:tc>
        <w:tc>
          <w:tcPr>
            <w:tcW w:type="dxa" w:w="3360"/>
          </w:tcPr>
          <w:p>
            <w:r>
              <w:t>50.04mg/Tab</w:t>
              <w:br/>
              <w:t>CV: 0.12%</w:t>
            </w:r>
          </w:p>
        </w:tc>
      </w:tr>
      <w:tr>
        <w:tc>
          <w:tcPr>
            <w:tcW w:type="dxa" w:w="3360"/>
          </w:tcPr>
          <w:p>
            <w:r>
              <w:t>Day 2 - Analyst 2 (Average Concentration)</w:t>
            </w:r>
          </w:p>
        </w:tc>
        <w:tc>
          <w:tcPr>
            <w:tcW w:type="dxa" w:w="3360"/>
          </w:tcPr>
          <w:p>
            <w:r>
              <w:t>CV &lt; 2.00%</w:t>
            </w:r>
          </w:p>
        </w:tc>
        <w:tc>
          <w:tcPr>
            <w:tcW w:type="dxa" w:w="3360"/>
          </w:tcPr>
          <w:p>
            <w:r>
              <w:t>49.97mg/Tab</w:t>
              <w:br/>
              <w:t>CV: 0.07%</w:t>
            </w:r>
          </w:p>
        </w:tc>
      </w:tr>
      <w:tr>
        <w:tc>
          <w:tcPr>
            <w:tcW w:type="dxa" w:w="3360"/>
          </w:tcPr>
          <w:p>
            <w:r>
              <w:t>Global Coefficient of Variation (Day 2)</w:t>
            </w:r>
          </w:p>
        </w:tc>
        <w:tc>
          <w:tcPr>
            <w:tcW w:type="dxa" w:w="3360"/>
          </w:tcPr>
          <w:p>
            <w:r>
              <w:t>CV &lt; 3.00%</w:t>
            </w:r>
          </w:p>
        </w:tc>
        <w:tc>
          <w:tcPr>
            <w:tcW w:type="dxa" w:w="3360"/>
          </w:tcPr>
          <w:p>
            <w:r>
              <w:t>0.1%</w:t>
            </w:r>
          </w:p>
        </w:tc>
      </w:tr>
      <w:tr>
        <w:tc>
          <w:tcPr>
            <w:tcW w:type="dxa" w:w="3360"/>
          </w:tcPr>
          <w:p>
            <w:r>
              <w:t>Global Coefficient of Variation (Day 1 and 2)</w:t>
            </w:r>
          </w:p>
        </w:tc>
        <w:tc>
          <w:tcPr>
            <w:tcW w:type="dxa" w:w="3360"/>
          </w:tcPr>
          <w:p>
            <w:r>
              <w:t>CV &lt; 3.00%</w:t>
            </w:r>
          </w:p>
        </w:tc>
        <w:tc>
          <w:tcPr>
            <w:tcW w:type="dxa" w:w="3360"/>
          </w:tcPr>
          <w:p>
            <w:r>
              <w:t>0.13%</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4577479.007</w:t>
            </w:r>
          </w:p>
        </w:tc>
      </w:tr>
      <w:tr>
        <w:tc>
          <w:tcPr>
            <w:tcW w:type="dxa" w:w="3360"/>
          </w:tcPr>
          <w:p>
            <w:r>
              <w:t>Intercept</w:t>
            </w:r>
          </w:p>
        </w:tc>
        <w:tc>
          <w:tcPr>
            <w:tcW w:type="dxa" w:w="3360"/>
          </w:tcPr>
          <w:p>
            <w:r>
              <w:t>--</w:t>
            </w:r>
          </w:p>
        </w:tc>
        <w:tc>
          <w:tcPr>
            <w:tcW w:type="dxa" w:w="3360"/>
          </w:tcPr>
          <w:p>
            <w:r>
              <w:t>-1240363.416</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0.9998</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4637109.164</w:t>
            </w:r>
          </w:p>
        </w:tc>
      </w:tr>
      <w:tr>
        <w:tc>
          <w:tcPr>
            <w:tcW w:type="dxa" w:w="3360"/>
          </w:tcPr>
          <w:p>
            <w:r>
              <w:t>Intercept</w:t>
            </w:r>
          </w:p>
        </w:tc>
        <w:tc>
          <w:tcPr>
            <w:tcW w:type="dxa" w:w="3360"/>
          </w:tcPr>
          <w:p>
            <w:r>
              <w:t>--</w:t>
            </w:r>
          </w:p>
        </w:tc>
        <w:tc>
          <w:tcPr>
            <w:tcW w:type="dxa" w:w="3360"/>
          </w:tcPr>
          <w:p>
            <w:r>
              <w:t>-4145453.228</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0.9999</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0.069 μg/ml</w:t>
            </w:r>
          </w:p>
        </w:tc>
      </w:tr>
      <w:tr>
        <w:tc>
          <w:tcPr>
            <w:tcW w:type="dxa" w:w="3360"/>
          </w:tcPr>
          <w:p>
            <w:r>
              <w:t>Limit of Quantification (LOQ)</w:t>
            </w:r>
          </w:p>
        </w:tc>
        <w:tc>
          <w:tcPr>
            <w:tcW w:type="dxa" w:w="3360"/>
          </w:tcPr>
          <w:p>
            <w:r>
              <w:t>Signal to Noise ratio ≥ 10:1</w:t>
            </w:r>
          </w:p>
        </w:tc>
        <w:tc>
          <w:tcPr>
            <w:tcW w:type="dxa" w:w="3360"/>
          </w:tcPr>
          <w:p>
            <w:r>
              <w:t>0.228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16.0%</w:t>
            </w:r>
          </w:p>
        </w:tc>
      </w:tr>
      <w:tr>
        <w:tc>
          <w:tcPr>
            <w:tcW w:type="dxa" w:w="3360"/>
          </w:tcPr>
          <w:p>
            <w:r>
              <w:t>LOQ Precision (n=6)</w:t>
            </w:r>
          </w:p>
        </w:tc>
        <w:tc>
          <w:tcPr>
            <w:tcW w:type="dxa" w:w="3360"/>
          </w:tcPr>
          <w:p>
            <w:r>
              <w:t>RSD ≤ 15%</w:t>
            </w:r>
          </w:p>
        </w:tc>
        <w:tc>
          <w:tcPr>
            <w:tcW w:type="dxa" w:w="3360"/>
          </w:tcPr>
          <w:p>
            <w:r>
              <w:t>9.7%</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 xml:space="preserve"> Pujitha Gedela, QC Dept, 12/10/2025</w:t>
            </w:r>
          </w:p>
        </w:tc>
        <w:tc>
          <w:tcPr>
            <w:tcW w:type="dxa" w:w="2016"/>
          </w:tcPr>
          <w:p>
            <w:r>
              <w:t>Analyst Q.C</w:t>
            </w:r>
          </w:p>
        </w:tc>
        <w:tc>
          <w:tcPr>
            <w:tcW w:type="dxa" w:w="2016"/>
          </w:tcPr>
          <w:p>
            <w:r>
              <w:t>[Signature]</w:t>
            </w:r>
          </w:p>
        </w:tc>
        <w:tc>
          <w:tcPr>
            <w:tcW w:type="dxa" w:w="2016"/>
          </w:tcPr>
          <w:p>
            <w:r>
              <w:t>16/10/2025</w:t>
            </w:r>
          </w:p>
        </w:tc>
      </w:tr>
      <w:tr>
        <w:tc>
          <w:tcPr>
            <w:tcW w:type="dxa" w:w="2016"/>
          </w:tcPr>
          <w:p>
            <w:r>
              <w:t>Checked By</w:t>
            </w:r>
          </w:p>
        </w:tc>
        <w:tc>
          <w:tcPr>
            <w:tcW w:type="dxa" w:w="2016"/>
          </w:tcPr>
          <w:p>
            <w:r>
              <w:t>faculty,QC dept, 15/10/2025</w:t>
            </w:r>
          </w:p>
        </w:tc>
        <w:tc>
          <w:tcPr>
            <w:tcW w:type="dxa" w:w="2016"/>
          </w:tcPr>
          <w:p>
            <w:r>
              <w:t>Asst. Manager Q.C</w:t>
            </w:r>
          </w:p>
        </w:tc>
        <w:tc>
          <w:tcPr>
            <w:tcW w:type="dxa" w:w="2016"/>
          </w:tcPr>
          <w:p>
            <w:r>
              <w:t>[Signature]</w:t>
            </w:r>
          </w:p>
        </w:tc>
        <w:tc>
          <w:tcPr>
            <w:tcW w:type="dxa" w:w="2016"/>
          </w:tcPr>
          <w:p>
            <w:r>
              <w:t>16/10/2025</w:t>
            </w:r>
          </w:p>
        </w:tc>
      </w:tr>
      <w:tr>
        <w:tc>
          <w:tcPr>
            <w:tcW w:type="dxa" w:w="2016"/>
          </w:tcPr>
          <w:p>
            <w:r>
              <w:t>Approved By</w:t>
            </w:r>
          </w:p>
        </w:tc>
        <w:tc>
          <w:tcPr>
            <w:tcW w:type="dxa" w:w="2016"/>
          </w:tcPr>
          <w:p>
            <w:r>
              <w:t>Dep head, QC Head, 12-10-2025</w:t>
            </w:r>
          </w:p>
        </w:tc>
        <w:tc>
          <w:tcPr>
            <w:tcW w:type="dxa" w:w="2016"/>
          </w:tcPr>
          <w:p>
            <w:r>
              <w:t>Manager Q.C</w:t>
            </w:r>
          </w:p>
        </w:tc>
        <w:tc>
          <w:tcPr>
            <w:tcW w:type="dxa" w:w="2016"/>
          </w:tcPr>
          <w:p>
            <w:r>
              <w:t>[Signature]</w:t>
            </w:r>
          </w:p>
        </w:tc>
        <w:tc>
          <w:tcPr>
            <w:tcW w:type="dxa" w:w="2016"/>
          </w:tcPr>
          <w:p>
            <w:r>
              <w:t>16/10/2025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