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C7FF15">
      <w:pPr>
        <w:jc w:val="center"/>
        <w:rPr>
          <w:rFonts w:hint="eastAsia"/>
          <w:lang w:eastAsia="zh-CN"/>
        </w:rPr>
      </w:pPr>
      <w:r>
        <w:rPr>
          <w:rFonts w:eastAsia="微软雅黑"/>
          <w:b/>
          <w:color w:val="1F497D"/>
          <w:sz w:val="40"/>
          <w:lang w:eastAsia="zh-CN"/>
        </w:rPr>
        <w:t>声学与军事相关技术延伸研究</w:t>
      </w:r>
      <w:r>
        <w:rPr>
          <w:rFonts w:eastAsia="微软雅黑"/>
          <w:b/>
          <w:color w:val="1F497D"/>
          <w:sz w:val="40"/>
          <w:lang w:eastAsia="zh-CN"/>
        </w:rPr>
        <w:br w:type="textWrapping"/>
      </w:r>
      <w:r>
        <w:rPr>
          <w:rFonts w:eastAsia="微软雅黑"/>
          <w:b/>
          <w:sz w:val="30"/>
          <w:lang w:eastAsia="zh-CN"/>
        </w:rPr>
        <w:t>——复杂城市环境中的声源定位原理、挑战与非作战应用</w:t>
      </w:r>
    </w:p>
    <w:p w14:paraId="3F9D1D2B">
      <w:pPr>
        <w:spacing w:before="120" w:after="240"/>
        <w:ind w:left="227" w:right="227"/>
        <w:rPr>
          <w:lang w:eastAsia="zh-CN"/>
        </w:rPr>
      </w:pPr>
      <w:r>
        <w:rPr>
          <w:rFonts w:eastAsia="微软雅黑"/>
          <w:b/>
          <w:lang w:eastAsia="zh-CN"/>
        </w:rPr>
        <w:t>摘要：</w:t>
      </w:r>
      <w:r>
        <w:rPr>
          <w:lang w:eastAsia="zh-CN"/>
        </w:rPr>
        <w:t>本文围绕课堂展示的 360 度声音识别传感器，研究其在复杂城市空间中的声源方向感知与位置估计潜力。文章从声学定位原理、城市巷道环境中的主要困难、系统构成、实验设计和非作战应用价值等方面展开分析。考虑到该类技术具有双重用途特征，本文将研究重点放在课程层面的科学原理、工程挑战、风险控制和公共安全应用上，不讨论任何攻击性部署方案。</w:t>
      </w:r>
    </w:p>
    <w:p w14:paraId="2AD22043">
      <w:pPr>
        <w:pStyle w:val="3"/>
        <w:spacing w:before="200" w:after="120"/>
        <w:rPr>
          <w:lang w:eastAsia="zh-CN"/>
        </w:rPr>
      </w:pPr>
      <w:r>
        <w:rPr>
          <w:lang w:eastAsia="zh-CN"/>
        </w:rPr>
        <w:t>一、课题背景</w:t>
      </w:r>
    </w:p>
    <w:p w14:paraId="0C4D63BC">
      <w:pPr>
        <w:spacing w:after="120" w:line="360" w:lineRule="auto"/>
        <w:ind w:firstLine="420"/>
        <w:rPr>
          <w:lang w:eastAsia="zh-CN"/>
        </w:rPr>
      </w:pPr>
      <w:r>
        <w:rPr>
          <w:lang w:eastAsia="zh-CN"/>
        </w:rPr>
        <w:t>声音是一种重要的环境信息载体。与摄像头等光学感知方式相比，声学传感器在低照度、烟雾遮挡、拐角遮挡等环境中仍可能捕捉到有效线索，因此在公共安全、应急救援和智慧城市等领域具有研究意义。</w:t>
      </w:r>
    </w:p>
    <w:p w14:paraId="79F705C1">
      <w:pPr>
        <w:spacing w:after="120" w:line="360" w:lineRule="auto"/>
        <w:ind w:firstLine="420"/>
        <w:rPr>
          <w:lang w:eastAsia="zh-CN"/>
        </w:rPr>
      </w:pPr>
      <w:r>
        <w:rPr>
          <w:lang w:eastAsia="zh-CN"/>
        </w:rPr>
        <w:t>课堂上展示的 360 度识别声音的传感器，为“复杂空间中的声源定位”提供了一个直观入口。所谓声源定位，简单来说就是利用多个麦克风接收到声音的时间差、强度差和频谱差异，估计声音从哪个方向传来，并在一定条件下进一步推断其大致位置。</w:t>
      </w:r>
    </w:p>
    <w:p w14:paraId="29A7101D">
      <w:pPr>
        <w:spacing w:after="120" w:line="360" w:lineRule="auto"/>
        <w:ind w:firstLine="420"/>
        <w:rPr>
          <w:lang w:eastAsia="zh-CN"/>
        </w:rPr>
      </w:pPr>
      <w:r>
        <w:rPr>
          <w:lang w:eastAsia="zh-CN"/>
        </w:rPr>
        <w:t>在城市巷道、走廊、楼道、拐角和半封闭空间内，声音会受到反射、遮挡和多路径传播影响，使定位结果比开阔场景更不稳定。因此，这一课题既有较强的工程挑战，也适合作为声学、传感器和信号处理的课程研究项目。</w:t>
      </w:r>
    </w:p>
    <w:p w14:paraId="21C8C777">
      <w:pPr>
        <w:pStyle w:val="3"/>
        <w:spacing w:before="200" w:after="120"/>
        <w:rPr>
          <w:lang w:eastAsia="zh-CN"/>
        </w:rPr>
      </w:pPr>
      <w:r>
        <w:rPr>
          <w:lang w:eastAsia="zh-CN"/>
        </w:rPr>
        <w:t>二、研究意义</w:t>
      </w:r>
    </w:p>
    <w:p w14:paraId="07DC3DBB">
      <w:pPr>
        <w:spacing w:after="120" w:line="360" w:lineRule="auto"/>
        <w:ind w:firstLine="420"/>
        <w:rPr>
          <w:lang w:eastAsia="zh-CN"/>
        </w:rPr>
      </w:pPr>
      <w:r>
        <w:rPr>
          <w:lang w:eastAsia="zh-CN"/>
        </w:rPr>
        <w:t>第一，声源定位研究有助于学生理解阵列传感器、信号处理和空间感知之间的关系，把课堂中的“硬件展示”转化为完整的工程问题。</w:t>
      </w:r>
    </w:p>
    <w:p w14:paraId="585420DC">
      <w:pPr>
        <w:spacing w:after="120" w:line="360" w:lineRule="auto"/>
        <w:ind w:firstLine="420"/>
        <w:rPr>
          <w:lang w:eastAsia="zh-CN"/>
        </w:rPr>
      </w:pPr>
      <w:r>
        <w:rPr>
          <w:lang w:eastAsia="zh-CN"/>
        </w:rPr>
        <w:t>第二，复杂环境中的声音分析问题能够体现真实世界的噪声、混响、遮挡和误判风险，比理想化场景更有研究价值。</w:t>
      </w:r>
    </w:p>
    <w:p w14:paraId="17609C83">
      <w:pPr>
        <w:spacing w:after="120" w:line="360" w:lineRule="auto"/>
        <w:ind w:firstLine="420"/>
        <w:rPr>
          <w:lang w:eastAsia="zh-CN"/>
        </w:rPr>
      </w:pPr>
      <w:r>
        <w:rPr>
          <w:lang w:eastAsia="zh-CN"/>
        </w:rPr>
        <w:t>第三，这类技术在非作战场景中具有现实意义，例如火灾现场被困人员呼救声定位、地震废墟中的生命探测、校园或园区异常声源预警、隧道或地下停车场的安全监测等。</w:t>
      </w:r>
    </w:p>
    <w:p w14:paraId="69F2267A">
      <w:pPr>
        <w:spacing w:after="120" w:line="360" w:lineRule="auto"/>
        <w:ind w:firstLine="420"/>
        <w:rPr>
          <w:lang w:eastAsia="zh-CN"/>
        </w:rPr>
      </w:pPr>
      <w:r>
        <w:rPr>
          <w:lang w:eastAsia="zh-CN"/>
        </w:rPr>
        <w:t>第四，从伦理与法律角度讨论该类技术的边界，也有助于培养</w:t>
      </w:r>
      <w:r>
        <w:rPr>
          <w:rFonts w:hint="eastAsia"/>
          <w:lang w:val="en-US" w:eastAsia="zh-CN"/>
        </w:rPr>
        <w:t>我们</w:t>
      </w:r>
      <w:r>
        <w:rPr>
          <w:lang w:eastAsia="zh-CN"/>
        </w:rPr>
        <w:t>对“双重用途技术”的责任意识。</w:t>
      </w:r>
    </w:p>
    <w:p w14:paraId="1E74FF2A">
      <w:pPr>
        <w:pStyle w:val="3"/>
        <w:spacing w:before="200" w:after="120"/>
        <w:rPr>
          <w:lang w:eastAsia="zh-CN"/>
        </w:rPr>
      </w:pPr>
      <w:r>
        <w:rPr>
          <w:lang w:eastAsia="zh-CN"/>
        </w:rPr>
        <w:t>三、技术原理</w:t>
      </w:r>
    </w:p>
    <w:p w14:paraId="0F620C4A">
      <w:pPr>
        <w:spacing w:after="120" w:line="360" w:lineRule="auto"/>
        <w:ind w:firstLine="420"/>
        <w:rPr>
          <w:lang w:eastAsia="zh-CN"/>
        </w:rPr>
      </w:pPr>
      <w:r>
        <w:rPr>
          <w:lang w:eastAsia="zh-CN"/>
        </w:rPr>
        <w:t>1. 麦克风阵列：360 度声音传感器通常并不是单个麦克风，而是由多个拾音单元组成。多个传感器同时采集环境声音，才能为后续的方向估计提供基础。</w:t>
      </w:r>
    </w:p>
    <w:p w14:paraId="219A4DE5">
      <w:pPr>
        <w:spacing w:after="120" w:line="360" w:lineRule="auto"/>
        <w:ind w:firstLine="420"/>
        <w:rPr>
          <w:lang w:eastAsia="zh-CN"/>
        </w:rPr>
      </w:pPr>
      <w:r>
        <w:rPr>
          <w:lang w:eastAsia="zh-CN"/>
        </w:rPr>
        <w:t>2. 到达时间差：同一个声源发出的声音传播到不同麦克风的距离不同，因此到达时刻会存在微小差异。系统可通过估计这些差异，推测声源方向。</w:t>
      </w:r>
    </w:p>
    <w:p w14:paraId="0D5C73D5">
      <w:pPr>
        <w:spacing w:after="120" w:line="360" w:lineRule="auto"/>
        <w:ind w:firstLine="420"/>
        <w:rPr>
          <w:lang w:eastAsia="zh-CN"/>
        </w:rPr>
      </w:pPr>
      <w:r>
        <w:rPr>
          <w:lang w:eastAsia="zh-CN"/>
        </w:rPr>
        <w:t>3. 强度与频谱特征：当声源与传感器之间存在遮挡时，声音强度和高频成分往往会发生变化。结合时间差与频谱信息，系统能提高对复杂场景的适应性。</w:t>
      </w:r>
    </w:p>
    <w:p w14:paraId="4B06854F">
      <w:pPr>
        <w:spacing w:after="120" w:line="360" w:lineRule="auto"/>
        <w:ind w:firstLine="420"/>
        <w:rPr>
          <w:lang w:eastAsia="zh-CN"/>
        </w:rPr>
      </w:pPr>
      <w:r>
        <w:rPr>
          <w:lang w:eastAsia="zh-CN"/>
        </w:rPr>
        <w:t>4. 波束形成与滤波：系统可通过波束形成突出特定方向的声音，同时抑制背景噪声，再结合滤波、降噪和短时能量分析等方法提升检测稳定性。</w:t>
      </w:r>
    </w:p>
    <w:p w14:paraId="310EDB2B">
      <w:pPr>
        <w:spacing w:after="120" w:line="360" w:lineRule="auto"/>
        <w:ind w:firstLine="420"/>
        <w:rPr>
          <w:lang w:eastAsia="zh-CN"/>
        </w:rPr>
      </w:pPr>
      <w:r>
        <w:rPr>
          <w:lang w:eastAsia="zh-CN"/>
        </w:rPr>
        <w:t>5. 空间定位与可视化：在获得方向估计后，可将结果映射到二维平面或方位图上，形成面向观察者的可视化提示。课程项目中更适合做到“方向估计与误差分析”，而不是追求高精度实地定位。</w:t>
      </w:r>
    </w:p>
    <w:p w14:paraId="502A83FA">
      <w:pPr>
        <w:pStyle w:val="3"/>
        <w:spacing w:before="200" w:after="120"/>
        <w:rPr>
          <w:lang w:eastAsia="zh-CN"/>
        </w:rPr>
      </w:pPr>
      <w:r>
        <w:rPr>
          <w:lang w:eastAsia="zh-CN"/>
        </w:rPr>
        <w:t>四、复杂城市环境中的主要挑战</w:t>
      </w:r>
    </w:p>
    <w:p w14:paraId="7D949C35">
      <w:pPr>
        <w:spacing w:after="120" w:line="360" w:lineRule="auto"/>
        <w:ind w:firstLine="420"/>
        <w:rPr>
          <w:lang w:eastAsia="zh-CN"/>
        </w:rPr>
      </w:pPr>
      <w:r>
        <w:rPr>
          <w:lang w:eastAsia="zh-CN"/>
        </w:rPr>
        <w:t>在狭窄街巷、楼道和拐角场景中，墙面、地面和门窗会引起明显反射，使传感器同时收到直达声与反射声，从而干扰方向判断。</w:t>
      </w:r>
    </w:p>
    <w:p w14:paraId="2B179F63">
      <w:pPr>
        <w:spacing w:after="120" w:line="360" w:lineRule="auto"/>
        <w:ind w:firstLine="420"/>
        <w:rPr>
          <w:lang w:eastAsia="zh-CN"/>
        </w:rPr>
      </w:pPr>
      <w:r>
        <w:rPr>
          <w:lang w:eastAsia="zh-CN"/>
        </w:rPr>
        <w:t>多路径传播会使同一声源看起来像来自多个方向，尤其是在混响较强的半封闭空间内，系统可能出现角度漂移或短时跳变。</w:t>
      </w:r>
    </w:p>
    <w:p w14:paraId="7806038B">
      <w:pPr>
        <w:spacing w:after="120" w:line="360" w:lineRule="auto"/>
        <w:ind w:firstLine="420"/>
        <w:rPr>
          <w:lang w:eastAsia="zh-CN"/>
        </w:rPr>
      </w:pPr>
      <w:r>
        <w:rPr>
          <w:lang w:eastAsia="zh-CN"/>
        </w:rPr>
        <w:t>环境噪声同样不可忽视。车辆行驶、人群说话、风噪、空调和机械设备都会掩盖目标声音，降低系统的信噪比。</w:t>
      </w:r>
    </w:p>
    <w:p w14:paraId="7FABCF89">
      <w:pPr>
        <w:spacing w:after="120" w:line="360" w:lineRule="auto"/>
        <w:ind w:firstLine="420"/>
        <w:rPr>
          <w:lang w:eastAsia="zh-CN"/>
        </w:rPr>
      </w:pPr>
      <w:r>
        <w:rPr>
          <w:lang w:eastAsia="zh-CN"/>
        </w:rPr>
        <w:t>此外，不同声源类型之间差异较大。连续说话声、突然敲击声、移动声源和短脉冲声源在检测与跟踪上的难点并不相同，算法往往需要分别评估。</w:t>
      </w:r>
    </w:p>
    <w:p w14:paraId="57F9969E">
      <w:pPr>
        <w:pStyle w:val="3"/>
        <w:spacing w:before="200" w:after="120"/>
        <w:rPr>
          <w:lang w:eastAsia="zh-CN"/>
        </w:rPr>
      </w:pPr>
      <w:r>
        <w:rPr>
          <w:lang w:eastAsia="zh-CN"/>
        </w:rPr>
        <w:t>五、系统构成与研究方案</w:t>
      </w:r>
    </w:p>
    <w:p w14:paraId="5C84CBB0">
      <w:pPr>
        <w:spacing w:after="120" w:line="360" w:lineRule="auto"/>
        <w:ind w:firstLine="420"/>
        <w:rPr>
          <w:lang w:eastAsia="zh-CN"/>
        </w:rPr>
      </w:pPr>
      <w:r>
        <w:rPr>
          <w:lang w:eastAsia="zh-CN"/>
        </w:rPr>
        <w:t>本课题可将系统抽象为五个模块：声音采集模块、预处理模块、方向估计模块、结果显示模块和实验记录模块。</w:t>
      </w:r>
    </w:p>
    <w:p w14:paraId="3DFC27D3">
      <w:pPr>
        <w:spacing w:after="120" w:line="360" w:lineRule="auto"/>
        <w:ind w:firstLine="420"/>
        <w:rPr>
          <w:lang w:eastAsia="zh-CN"/>
        </w:rPr>
      </w:pPr>
      <w:r>
        <w:rPr>
          <w:lang w:eastAsia="zh-CN"/>
        </w:rPr>
        <w:t>声音采集模块负责同步获取多通道音频；预处理模块完成去噪、分帧、滤波和特征提取；方向估计模块输出声源方位；结果显示模块用罗盘图、角度条或平面示意图展示方向；实验记录模块保存测试条件、定位结果和误差数据，用于后续分析。</w:t>
      </w:r>
    </w:p>
    <w:p w14:paraId="6D712042">
      <w:pPr>
        <w:spacing w:after="120" w:line="360" w:lineRule="auto"/>
        <w:ind w:firstLine="420"/>
        <w:rPr>
          <w:lang w:eastAsia="zh-CN"/>
        </w:rPr>
      </w:pPr>
      <w:r>
        <w:rPr>
          <w:lang w:eastAsia="zh-CN"/>
        </w:rPr>
        <w:t>课程研究中采用“模拟街巷场景”而非真实敏感场景，例如在教学楼走廊、空教室、楼道转角或实验室搭建简化环境，通过扬声器播放预设声音来验证传感器性能。</w:t>
      </w:r>
    </w:p>
    <w:p w14:paraId="526E1941">
      <w:pPr>
        <w:pStyle w:val="3"/>
        <w:spacing w:before="200" w:after="120"/>
        <w:rPr>
          <w:lang w:eastAsia="zh-CN"/>
        </w:rPr>
      </w:pPr>
      <w:r>
        <w:rPr>
          <w:lang w:eastAsia="zh-CN"/>
        </w:rPr>
        <w:t>六、实验设计</w:t>
      </w:r>
    </w:p>
    <w:p w14:paraId="312C322C">
      <w:pPr>
        <w:spacing w:after="120" w:line="360" w:lineRule="auto"/>
        <w:ind w:firstLine="420"/>
        <w:rPr>
          <w:lang w:eastAsia="zh-CN"/>
        </w:rPr>
      </w:pPr>
      <w:r>
        <w:rPr>
          <w:lang w:eastAsia="zh-CN"/>
        </w:rPr>
        <w:t>实验一：开阔走廊环境中的基础方向识别。将扬声器放置在不同角度，记录传感器输出方向与真实方向之间的误差，建立基线结果。</w:t>
      </w:r>
    </w:p>
    <w:p w14:paraId="0CD156B5">
      <w:pPr>
        <w:spacing w:after="120" w:line="360" w:lineRule="auto"/>
        <w:ind w:firstLine="420"/>
        <w:rPr>
          <w:lang w:eastAsia="zh-CN"/>
        </w:rPr>
      </w:pPr>
      <w:r>
        <w:rPr>
          <w:lang w:eastAsia="zh-CN"/>
        </w:rPr>
        <w:t>实验二：拐角与遮挡环境测试。在传感器与声源之间加入墙角、隔板或门框等障碍，观察方向估计是否出现偏移。</w:t>
      </w:r>
    </w:p>
    <w:p w14:paraId="0156FE54">
      <w:pPr>
        <w:spacing w:after="120" w:line="360" w:lineRule="auto"/>
        <w:ind w:firstLine="420"/>
        <w:rPr>
          <w:lang w:eastAsia="zh-CN"/>
        </w:rPr>
      </w:pPr>
      <w:r>
        <w:rPr>
          <w:lang w:eastAsia="zh-CN"/>
        </w:rPr>
        <w:t>实验三：噪声干扰测试。向环境中加入人声、音乐或风噪，比较不同噪声强度下的识别稳定性。</w:t>
      </w:r>
    </w:p>
    <w:p w14:paraId="2CDD6866">
      <w:pPr>
        <w:spacing w:after="120" w:line="360" w:lineRule="auto"/>
        <w:ind w:firstLine="420"/>
        <w:rPr>
          <w:lang w:eastAsia="zh-CN"/>
        </w:rPr>
      </w:pPr>
      <w:r>
        <w:rPr>
          <w:lang w:eastAsia="zh-CN"/>
        </w:rPr>
        <w:t>实验四：多场景对比。比较走廊、教室、楼梯口和半开阔空间中系统表现，分析环境结构对结果的影响。</w:t>
      </w:r>
    </w:p>
    <w:p w14:paraId="027F14E4">
      <w:pPr>
        <w:spacing w:after="120" w:line="360" w:lineRule="auto"/>
        <w:ind w:firstLine="420"/>
        <w:rPr>
          <w:lang w:eastAsia="zh-CN"/>
        </w:rPr>
      </w:pPr>
      <w:r>
        <w:rPr>
          <w:lang w:eastAsia="zh-CN"/>
        </w:rPr>
        <w:t>实验指标建议包括方向误差、响应时间、重复性、误报率、在噪声下的鲁棒性，以及不同障碍条件下的性能变化趋势。</w:t>
      </w:r>
    </w:p>
    <w:p w14:paraId="5463274B">
      <w:pPr>
        <w:pStyle w:val="3"/>
        <w:spacing w:before="200" w:after="120"/>
        <w:rPr>
          <w:lang w:eastAsia="zh-CN"/>
        </w:rPr>
      </w:pPr>
      <w:r>
        <w:rPr>
          <w:lang w:eastAsia="zh-CN"/>
        </w:rPr>
        <w:t>七、结论</w:t>
      </w:r>
    </w:p>
    <w:p w14:paraId="423B8E68">
      <w:pPr>
        <w:spacing w:after="120" w:line="360" w:lineRule="auto"/>
        <w:ind w:firstLine="420"/>
        <w:rPr>
          <w:lang w:eastAsia="zh-CN"/>
        </w:rPr>
      </w:pPr>
      <w:r>
        <w:rPr>
          <w:lang w:eastAsia="zh-CN"/>
        </w:rPr>
        <w:t>总体来看，360 度声音传感器在复杂城市环境中的声源方向估计具有明确的研究价值。其核心难点不在于“能否听到声音”，而在于如何在反射、遮挡、噪声和混响条件下稳定地判断声音来自哪里。</w:t>
      </w:r>
    </w:p>
    <w:p w14:paraId="4E85F55A">
      <w:pPr>
        <w:spacing w:after="120" w:line="360" w:lineRule="auto"/>
        <w:ind w:firstLine="420"/>
        <w:rPr>
          <w:lang w:eastAsia="zh-CN"/>
        </w:rPr>
      </w:pPr>
      <w:r>
        <w:rPr>
          <w:lang w:eastAsia="zh-CN"/>
        </w:rPr>
        <w:t>从课程项目角度看，本课题适合以“原理分析 + 小型实验 + 误差评估”的方式展开。通过搭建简化场景并记录数据，</w:t>
      </w:r>
      <w:r>
        <w:rPr>
          <w:rFonts w:hint="eastAsia"/>
          <w:lang w:val="en-US" w:eastAsia="zh-CN"/>
        </w:rPr>
        <w:t>我们</w:t>
      </w:r>
      <w:r>
        <w:rPr>
          <w:lang w:eastAsia="zh-CN"/>
        </w:rPr>
        <w:t>不仅可以理解声学阵列的基本机制，也能认识到真实环境中工程系统的局限性。未来若与视觉、红外或惯性传感器结合，还可进一步研究多模态环境感知，但其应用应始终遵守安全、合法和非攻击性原则。</w:t>
      </w:r>
      <w:bookmarkStart w:id="0" w:name="_GoBack"/>
      <w:bookmarkEnd w:id="0"/>
    </w:p>
    <w:p w14:paraId="326F3F80">
      <w:pPr>
        <w:pStyle w:val="4"/>
        <w:spacing w:before="160" w:after="120"/>
        <w:rPr>
          <w:lang w:eastAsia="zh-CN"/>
        </w:rPr>
      </w:pPr>
      <w:r>
        <w:rPr>
          <w:lang w:eastAsia="zh-CN"/>
        </w:rPr>
        <w:t>表 1  课程研究建议的实验变量与观测指标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66ABB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tcMar>
              <w:top w:w="120" w:type="dxa"/>
              <w:left w:w="120" w:type="dxa"/>
              <w:bottom w:w="120" w:type="dxa"/>
              <w:right w:w="120" w:type="dxa"/>
            </w:tcMar>
            <w:vAlign w:val="center"/>
          </w:tcPr>
          <w:p w14:paraId="01178268">
            <w:pPr>
              <w:spacing w:after="0" w:line="240" w:lineRule="auto"/>
              <w:jc w:val="center"/>
            </w:pPr>
            <w:r>
              <w:rPr>
                <w:rFonts w:eastAsia="微软雅黑"/>
                <w:b/>
              </w:rPr>
              <w:t>实验变量</w:t>
            </w:r>
          </w:p>
        </w:tc>
        <w:tc>
          <w:tcPr>
            <w:tcW w:w="3211" w:type="dxa"/>
            <w:tcMar>
              <w:top w:w="120" w:type="dxa"/>
              <w:left w:w="120" w:type="dxa"/>
              <w:bottom w:w="120" w:type="dxa"/>
              <w:right w:w="120" w:type="dxa"/>
            </w:tcMar>
            <w:vAlign w:val="center"/>
          </w:tcPr>
          <w:p w14:paraId="5AD01150">
            <w:pPr>
              <w:spacing w:after="0" w:line="240" w:lineRule="auto"/>
              <w:jc w:val="center"/>
            </w:pPr>
            <w:r>
              <w:rPr>
                <w:rFonts w:eastAsia="微软雅黑"/>
                <w:b/>
              </w:rPr>
              <w:t>设置示例</w:t>
            </w:r>
          </w:p>
        </w:tc>
        <w:tc>
          <w:tcPr>
            <w:tcW w:w="3211" w:type="dxa"/>
            <w:tcMar>
              <w:top w:w="120" w:type="dxa"/>
              <w:left w:w="120" w:type="dxa"/>
              <w:bottom w:w="120" w:type="dxa"/>
              <w:right w:w="120" w:type="dxa"/>
            </w:tcMar>
            <w:vAlign w:val="center"/>
          </w:tcPr>
          <w:p w14:paraId="6CEE1765">
            <w:pPr>
              <w:spacing w:after="0" w:line="240" w:lineRule="auto"/>
              <w:jc w:val="center"/>
            </w:pPr>
            <w:r>
              <w:rPr>
                <w:rFonts w:eastAsia="微软雅黑"/>
                <w:b/>
              </w:rPr>
              <w:t>主要观测指标</w:t>
            </w:r>
          </w:p>
        </w:tc>
      </w:tr>
      <w:tr w14:paraId="52827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tcMar>
              <w:top w:w="120" w:type="dxa"/>
              <w:left w:w="120" w:type="dxa"/>
              <w:bottom w:w="120" w:type="dxa"/>
              <w:right w:w="120" w:type="dxa"/>
            </w:tcMar>
            <w:vAlign w:val="center"/>
          </w:tcPr>
          <w:p w14:paraId="188785E9">
            <w:pPr>
              <w:spacing w:after="0" w:line="240" w:lineRule="auto"/>
              <w:jc w:val="center"/>
            </w:pPr>
            <w:r>
              <w:t>声源位置</w:t>
            </w:r>
          </w:p>
        </w:tc>
        <w:tc>
          <w:tcPr>
            <w:tcW w:w="3211" w:type="dxa"/>
            <w:tcMar>
              <w:top w:w="120" w:type="dxa"/>
              <w:left w:w="120" w:type="dxa"/>
              <w:bottom w:w="120" w:type="dxa"/>
              <w:right w:w="120" w:type="dxa"/>
            </w:tcMar>
            <w:vAlign w:val="center"/>
          </w:tcPr>
          <w:p w14:paraId="1467E00E">
            <w:pPr>
              <w:spacing w:after="0" w:line="240" w:lineRule="auto"/>
              <w:rPr>
                <w:lang w:eastAsia="zh-CN"/>
              </w:rPr>
            </w:pPr>
            <w:r>
              <w:rPr>
                <w:lang w:eastAsia="zh-CN"/>
              </w:rPr>
              <w:t>前方、侧方、后方、拐角后</w:t>
            </w:r>
          </w:p>
        </w:tc>
        <w:tc>
          <w:tcPr>
            <w:tcW w:w="3211" w:type="dxa"/>
            <w:tcMar>
              <w:top w:w="120" w:type="dxa"/>
              <w:left w:w="120" w:type="dxa"/>
              <w:bottom w:w="120" w:type="dxa"/>
              <w:right w:w="120" w:type="dxa"/>
            </w:tcMar>
            <w:vAlign w:val="center"/>
          </w:tcPr>
          <w:p w14:paraId="511DF803">
            <w:pPr>
              <w:spacing w:after="0" w:line="240" w:lineRule="auto"/>
              <w:jc w:val="center"/>
            </w:pPr>
            <w:r>
              <w:t>方向误差、响应时间</w:t>
            </w:r>
          </w:p>
        </w:tc>
      </w:tr>
      <w:tr w14:paraId="4387E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tcMar>
              <w:top w:w="120" w:type="dxa"/>
              <w:left w:w="120" w:type="dxa"/>
              <w:bottom w:w="120" w:type="dxa"/>
              <w:right w:w="120" w:type="dxa"/>
            </w:tcMar>
            <w:vAlign w:val="center"/>
          </w:tcPr>
          <w:p w14:paraId="3045AA69">
            <w:pPr>
              <w:spacing w:after="0" w:line="240" w:lineRule="auto"/>
              <w:jc w:val="center"/>
            </w:pPr>
            <w:r>
              <w:t>环境结构</w:t>
            </w:r>
          </w:p>
        </w:tc>
        <w:tc>
          <w:tcPr>
            <w:tcW w:w="3211" w:type="dxa"/>
            <w:tcMar>
              <w:top w:w="120" w:type="dxa"/>
              <w:left w:w="120" w:type="dxa"/>
              <w:bottom w:w="120" w:type="dxa"/>
              <w:right w:w="120" w:type="dxa"/>
            </w:tcMar>
            <w:vAlign w:val="center"/>
          </w:tcPr>
          <w:p w14:paraId="1A0A22E2">
            <w:pPr>
              <w:spacing w:after="0" w:line="240" w:lineRule="auto"/>
              <w:rPr>
                <w:lang w:eastAsia="zh-CN"/>
              </w:rPr>
            </w:pPr>
            <w:r>
              <w:rPr>
                <w:lang w:eastAsia="zh-CN"/>
              </w:rPr>
              <w:t>走廊、楼道、教室、半开阔空间</w:t>
            </w:r>
          </w:p>
        </w:tc>
        <w:tc>
          <w:tcPr>
            <w:tcW w:w="3211" w:type="dxa"/>
            <w:tcMar>
              <w:top w:w="120" w:type="dxa"/>
              <w:left w:w="120" w:type="dxa"/>
              <w:bottom w:w="120" w:type="dxa"/>
              <w:right w:w="120" w:type="dxa"/>
            </w:tcMar>
            <w:vAlign w:val="center"/>
          </w:tcPr>
          <w:p w14:paraId="7CCE541C">
            <w:pPr>
              <w:spacing w:after="0" w:line="240" w:lineRule="auto"/>
              <w:jc w:val="center"/>
            </w:pPr>
            <w:r>
              <w:t>稳定性、重复性</w:t>
            </w:r>
          </w:p>
        </w:tc>
      </w:tr>
      <w:tr w14:paraId="4A85C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tcMar>
              <w:top w:w="120" w:type="dxa"/>
              <w:left w:w="120" w:type="dxa"/>
              <w:bottom w:w="120" w:type="dxa"/>
              <w:right w:w="120" w:type="dxa"/>
            </w:tcMar>
            <w:vAlign w:val="center"/>
          </w:tcPr>
          <w:p w14:paraId="090E4DB2">
            <w:pPr>
              <w:spacing w:after="0" w:line="240" w:lineRule="auto"/>
              <w:jc w:val="center"/>
            </w:pPr>
            <w:r>
              <w:t>遮挡条件</w:t>
            </w:r>
          </w:p>
        </w:tc>
        <w:tc>
          <w:tcPr>
            <w:tcW w:w="3211" w:type="dxa"/>
            <w:tcMar>
              <w:top w:w="120" w:type="dxa"/>
              <w:left w:w="120" w:type="dxa"/>
              <w:bottom w:w="120" w:type="dxa"/>
              <w:right w:w="120" w:type="dxa"/>
            </w:tcMar>
            <w:vAlign w:val="center"/>
          </w:tcPr>
          <w:p w14:paraId="4BE5EF4F">
            <w:pPr>
              <w:spacing w:after="0" w:line="240" w:lineRule="auto"/>
            </w:pPr>
            <w:r>
              <w:t>墙角、门框、隔板</w:t>
            </w:r>
          </w:p>
        </w:tc>
        <w:tc>
          <w:tcPr>
            <w:tcW w:w="3211" w:type="dxa"/>
            <w:tcMar>
              <w:top w:w="120" w:type="dxa"/>
              <w:left w:w="120" w:type="dxa"/>
              <w:bottom w:w="120" w:type="dxa"/>
              <w:right w:w="120" w:type="dxa"/>
            </w:tcMar>
            <w:vAlign w:val="center"/>
          </w:tcPr>
          <w:p w14:paraId="457A25D8">
            <w:pPr>
              <w:spacing w:after="0" w:line="240" w:lineRule="auto"/>
              <w:jc w:val="center"/>
            </w:pPr>
            <w:r>
              <w:t>误差漂移、误报率</w:t>
            </w:r>
          </w:p>
        </w:tc>
      </w:tr>
      <w:tr w14:paraId="17A67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tcMar>
              <w:top w:w="120" w:type="dxa"/>
              <w:left w:w="120" w:type="dxa"/>
              <w:bottom w:w="120" w:type="dxa"/>
              <w:right w:w="120" w:type="dxa"/>
            </w:tcMar>
            <w:vAlign w:val="center"/>
          </w:tcPr>
          <w:p w14:paraId="333D25DE">
            <w:pPr>
              <w:spacing w:after="0" w:line="240" w:lineRule="auto"/>
              <w:jc w:val="center"/>
            </w:pPr>
            <w:r>
              <w:t>噪声强度</w:t>
            </w:r>
          </w:p>
        </w:tc>
        <w:tc>
          <w:tcPr>
            <w:tcW w:w="3211" w:type="dxa"/>
            <w:tcMar>
              <w:top w:w="120" w:type="dxa"/>
              <w:left w:w="120" w:type="dxa"/>
              <w:bottom w:w="120" w:type="dxa"/>
              <w:right w:w="120" w:type="dxa"/>
            </w:tcMar>
            <w:vAlign w:val="center"/>
          </w:tcPr>
          <w:p w14:paraId="746E876F">
            <w:pPr>
              <w:spacing w:after="0" w:line="240" w:lineRule="auto"/>
              <w:rPr>
                <w:lang w:eastAsia="zh-CN"/>
              </w:rPr>
            </w:pPr>
            <w:r>
              <w:rPr>
                <w:lang w:eastAsia="zh-CN"/>
              </w:rPr>
              <w:t>安静、低噪、中噪、高噪</w:t>
            </w:r>
          </w:p>
        </w:tc>
        <w:tc>
          <w:tcPr>
            <w:tcW w:w="3211" w:type="dxa"/>
            <w:tcMar>
              <w:top w:w="120" w:type="dxa"/>
              <w:left w:w="120" w:type="dxa"/>
              <w:bottom w:w="120" w:type="dxa"/>
              <w:right w:w="120" w:type="dxa"/>
            </w:tcMar>
            <w:vAlign w:val="center"/>
          </w:tcPr>
          <w:p w14:paraId="2166786A">
            <w:pPr>
              <w:spacing w:after="0" w:line="240" w:lineRule="auto"/>
              <w:jc w:val="center"/>
              <w:rPr>
                <w:lang w:eastAsia="zh-CN"/>
              </w:rPr>
            </w:pPr>
            <w:r>
              <w:rPr>
                <w:lang w:eastAsia="zh-CN"/>
              </w:rPr>
              <w:t>抗噪能力、检测成功率</w:t>
            </w:r>
          </w:p>
        </w:tc>
      </w:tr>
      <w:tr w14:paraId="23B1A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tcMar>
              <w:top w:w="120" w:type="dxa"/>
              <w:left w:w="120" w:type="dxa"/>
              <w:bottom w:w="120" w:type="dxa"/>
              <w:right w:w="120" w:type="dxa"/>
            </w:tcMar>
            <w:vAlign w:val="center"/>
          </w:tcPr>
          <w:p w14:paraId="515684A9">
            <w:pPr>
              <w:spacing w:after="0" w:line="240" w:lineRule="auto"/>
              <w:jc w:val="center"/>
            </w:pPr>
            <w:r>
              <w:t>声源类型</w:t>
            </w:r>
          </w:p>
        </w:tc>
        <w:tc>
          <w:tcPr>
            <w:tcW w:w="3211" w:type="dxa"/>
            <w:tcMar>
              <w:top w:w="120" w:type="dxa"/>
              <w:left w:w="120" w:type="dxa"/>
              <w:bottom w:w="120" w:type="dxa"/>
              <w:right w:w="120" w:type="dxa"/>
            </w:tcMar>
            <w:vAlign w:val="center"/>
          </w:tcPr>
          <w:p w14:paraId="26B8BBFF">
            <w:pPr>
              <w:spacing w:after="0" w:line="240" w:lineRule="auto"/>
              <w:rPr>
                <w:lang w:eastAsia="zh-CN"/>
              </w:rPr>
            </w:pPr>
            <w:r>
              <w:rPr>
                <w:lang w:eastAsia="zh-CN"/>
              </w:rPr>
              <w:t>说话声、敲击声、警报声</w:t>
            </w:r>
          </w:p>
        </w:tc>
        <w:tc>
          <w:tcPr>
            <w:tcW w:w="3211" w:type="dxa"/>
            <w:tcMar>
              <w:top w:w="120" w:type="dxa"/>
              <w:left w:w="120" w:type="dxa"/>
              <w:bottom w:w="120" w:type="dxa"/>
              <w:right w:w="120" w:type="dxa"/>
            </w:tcMar>
            <w:vAlign w:val="center"/>
          </w:tcPr>
          <w:p w14:paraId="25F0ACD0">
            <w:pPr>
              <w:spacing w:after="0" w:line="240" w:lineRule="auto"/>
              <w:jc w:val="center"/>
            </w:pPr>
            <w:r>
              <w:t>识别一致性、鲁棒性</w:t>
            </w:r>
          </w:p>
        </w:tc>
      </w:tr>
    </w:tbl>
    <w:p w14:paraId="18A21373">
      <w:pPr>
        <w:spacing w:before="240"/>
        <w:rPr>
          <w:rFonts w:hint="eastAsia"/>
          <w:lang w:eastAsia="zh-CN"/>
        </w:rPr>
      </w:pPr>
    </w:p>
    <w:sectPr>
      <w:pgSz w:w="12240" w:h="15840"/>
      <w:pgMar w:top="1304" w:right="1247" w:bottom="1247" w:left="136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E0002EFF" w:usb1="C000785B" w:usb2="00000009" w:usb3="00000000" w:csb0="400001FF" w:csb1="FFFF0000"/>
  </w:font>
  <w:font w:name="MS Gothic">
    <w:panose1 w:val="020B0609070205080204"/>
    <w:charset w:val="80"/>
    <w:family w:val="auto"/>
    <w:pitch w:val="default"/>
    <w:sig w:usb0="E00002FF" w:usb1="6AC7FDFB" w:usb2="08000012" w:usb3="00000000" w:csb0="4002009F" w:csb1="DFD70000"/>
  </w:font>
  <w:font w:name="Courier">
    <w:altName w:val="Courier New"/>
    <w:panose1 w:val="02070309020205020404"/>
    <w:charset w:val="00"/>
    <w:family w:val="auto"/>
    <w:pitch w:val="default"/>
    <w:sig w:usb0="00000000" w:usb1="00000000" w:usb2="00000000" w:usb3="00000000" w:csb0="00000001" w:csb1="00000000"/>
  </w:font>
  <w:font w:name="微软雅黑">
    <w:panose1 w:val="020B0503020204020204"/>
    <w:charset w:val="86"/>
    <w:family w:val="swiss"/>
    <w:pitch w:val="default"/>
    <w:sig w:usb0="80000287" w:usb1="2ACF3C50" w:usb2="00000016" w:usb3="00000000" w:csb0="0004001F"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E5A98"/>
    <w:rsid w:val="0029639D"/>
    <w:rsid w:val="00315602"/>
    <w:rsid w:val="00326F90"/>
    <w:rsid w:val="004203FF"/>
    <w:rsid w:val="00AA1D8D"/>
    <w:rsid w:val="00B47730"/>
    <w:rsid w:val="00B5029A"/>
    <w:rsid w:val="00CB0664"/>
    <w:rsid w:val="00E115BD"/>
    <w:rsid w:val="00FC693F"/>
    <w:rsid w:val="0592422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rial" w:hAnsi="Arial"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5"/>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3"/>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40"/>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uiPriority w:val="99"/>
  </w:style>
  <w:style w:type="character" w:customStyle="1" w:styleId="136">
    <w:name w:val="页脚 字符"/>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uiPriority w:val="99"/>
  </w:style>
  <w:style w:type="character" w:customStyle="1" w:styleId="145">
    <w:name w:val="正文文本 2 字符"/>
    <w:basedOn w:val="132"/>
    <w:link w:val="28"/>
    <w:uiPriority w:val="99"/>
  </w:style>
  <w:style w:type="character" w:customStyle="1" w:styleId="146">
    <w:name w:val="正文文本 3 字符"/>
    <w:basedOn w:val="132"/>
    <w:link w:val="17"/>
    <w:uiPriority w:val="99"/>
    <w:rPr>
      <w:sz w:val="16"/>
      <w:szCs w:val="16"/>
    </w:rPr>
  </w:style>
  <w:style w:type="character" w:customStyle="1" w:styleId="147">
    <w:name w:val="宏文本 字符"/>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uiPriority w:val="29"/>
    <w:rPr>
      <w:i/>
      <w:iCs/>
      <w:color w:val="000000" w:themeColor="text1"/>
      <w14:textFill>
        <w14:solidFill>
          <w14:schemeClr w14:val="tx1"/>
        </w14:solidFill>
      </w14:textFill>
    </w:rPr>
  </w:style>
  <w:style w:type="character" w:customStyle="1" w:styleId="150">
    <w:name w:val="标题 4 字符"/>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2203</Words>
  <Characters>2217</Characters>
  <Lines>16</Lines>
  <Paragraphs>4</Paragraphs>
  <TotalTime>7</TotalTime>
  <ScaleCrop>false</ScaleCrop>
  <LinksUpToDate>false</LinksUpToDate>
  <CharactersWithSpaces>2235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Angel  Beats</cp:lastModifiedBy>
  <dcterms:modified xsi:type="dcterms:W3CDTF">2026-04-08T06:37:31Z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eyJoZGlkIjoiOTRjOWJiODhmN2E2MTg5ZGRmYjU0NGQwYWJhYjYxN2UiLCJ1c2VySWQiOiI2NjEyMDgyMzYifQ==</vt:lpwstr>
  </property>
  <property fmtid="{D5CDD505-2E9C-101B-9397-08002B2CF9AE}" pid="3" name="KSOProductBuildVer">
    <vt:lpwstr>2052-12.1.0.25225</vt:lpwstr>
  </property>
  <property fmtid="{D5CDD505-2E9C-101B-9397-08002B2CF9AE}" pid="4" name="ICV">
    <vt:lpwstr>9F67ED3966DC4AF39418984E73D89AFC_12</vt:lpwstr>
  </property>
</Properties>
</file>