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95a39053fcf34eee6eaff891ca746c400f08d86"/>
    <w:p>
      <w:pPr>
        <w:pStyle w:val="Heading1"/>
      </w:pPr>
      <w:r>
        <w:t xml:space="preserve">Reconnaissance du type de déchets intelligents : fichier d’entraînement du modèle et analyse technique</w:t>
      </w:r>
    </w:p>
    <w:p>
      <w:pPr>
        <w:pStyle w:val="SourceCode"/>
      </w:pPr>
      <w:r>
        <w:rPr>
          <w:rStyle w:val="AttributeTok"/>
        </w:rPr>
        <w:t xml:space="preserve">@torch.no_grad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evaluate(model: nn.Module, loader: DataLoader, device: torch.device)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model.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loss_fn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nn.CrossEntropyLoss()</w:t>
      </w:r>
      <w:r>
        <w:br/>
      </w:r>
      <w:r>
        <w:rPr>
          <w:rStyle w:val="NormalTok"/>
        </w:rPr>
        <w:t xml:space="preserve">    total_loss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total_acc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n_batches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all_preds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all_targets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images, targets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loader:</w:t>
      </w:r>
      <w:r>
        <w:br/>
      </w:r>
      <w:r>
        <w:rPr>
          <w:rStyle w:val="NormalTok"/>
        </w:rPr>
        <w:t xml:space="preserve">        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images.to(device, non_blocking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targets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targets.to(device, non_blocking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model(images)</w:t>
      </w:r>
      <w:r>
        <w:br/>
      </w:r>
      <w:r>
        <w:rPr>
          <w:rStyle w:val="NormalTok"/>
        </w:rPr>
        <w:t xml:space="preserve">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loss_fn(logits, targets)</w:t>
      </w:r>
      <w:r>
        <w:br/>
      </w:r>
      <w:r>
        <w:rPr>
          <w:rStyle w:val="NormalTok"/>
        </w:rPr>
        <w:t xml:space="preserve">        total_loss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loss.item()</w:t>
      </w:r>
      <w:r>
        <w:br/>
      </w:r>
      <w:r>
        <w:rPr>
          <w:rStyle w:val="NormalTok"/>
        </w:rPr>
        <w:t xml:space="preserve">        total_acc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accuracy_top1(logits, targets)</w:t>
      </w:r>
      <w:r>
        <w:br/>
      </w:r>
      <w:r>
        <w:rPr>
          <w:rStyle w:val="NormalTok"/>
        </w:rPr>
        <w:t xml:space="preserve">        n_batches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all_preds.append(logits.argmax(dim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).detach().cpu())</w:t>
      </w:r>
      <w:r>
        <w:br/>
      </w:r>
      <w:r>
        <w:rPr>
          <w:rStyle w:val="NormalTok"/>
        </w:rPr>
        <w:t xml:space="preserve">        all_targets.append(targets.detach().cpu())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n_batches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"loss"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"nan"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"acc"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"nan"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"confusion"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torch.cat(all_preds)</w:t>
      </w:r>
      <w:r>
        <w:br/>
      </w:r>
      <w:r>
        <w:rPr>
          <w:rStyle w:val="NormalTok"/>
        </w:rPr>
        <w:t xml:space="preserve">    targs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torch.cat(all_targets)</w:t>
      </w:r>
      <w:r>
        <w:br/>
      </w:r>
      <w:r>
        <w:rPr>
          <w:rStyle w:val="NormalTok"/>
        </w:rPr>
        <w:t xml:space="preserve">    num_classes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(preds.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 targs.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()).item())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preds.numel()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confusion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torch.zeros((num_classes, num_classes),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torch.int64)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t,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(targs.tolist(), preds.tolist()):</w:t>
      </w:r>
      <w:r>
        <w:br/>
      </w:r>
      <w:r>
        <w:rPr>
          <w:rStyle w:val="NormalTok"/>
        </w:rPr>
        <w:t xml:space="preserve">        confusion[t, p]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"loss"</w:t>
      </w:r>
      <w:r>
        <w:rPr>
          <w:rStyle w:val="NormalTok"/>
        </w:rPr>
        <w:t xml:space="preserve">: total_loss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n_batches, </w:t>
      </w:r>
      <w:r>
        <w:rPr>
          <w:rStyle w:val="StringTok"/>
        </w:rPr>
        <w:t xml:space="preserve">"acc"</w:t>
      </w:r>
      <w:r>
        <w:rPr>
          <w:rStyle w:val="NormalTok"/>
        </w:rPr>
        <w:t xml:space="preserve">: total_acc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n_batches, </w:t>
      </w:r>
      <w:r>
        <w:rPr>
          <w:rStyle w:val="StringTok"/>
        </w:rPr>
        <w:t xml:space="preserve">"confusion"</w:t>
      </w:r>
      <w:r>
        <w:rPr>
          <w:rStyle w:val="NormalTok"/>
        </w:rPr>
        <w:t xml:space="preserve">: confusion}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build_model(arch: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num_classes: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nn.Module:</w:t>
      </w:r>
      <w:r>
        <w:br/>
      </w:r>
      <w:r>
        <w:rPr>
          <w:rStyle w:val="NormalTok"/>
        </w:rPr>
        <w:t xml:space="preserve">    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arch.lower().strip()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arch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"resnet18"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兼容 torchvision 旧版本（0.8.x）: 使用 pretrained=True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(models, </w:t>
      </w:r>
      <w:r>
        <w:rPr>
          <w:rStyle w:val="StringTok"/>
        </w:rPr>
        <w:t xml:space="preserve">"ResNet18_Weights"</w:t>
      </w:r>
      <w:r>
        <w:rPr>
          <w:rStyle w:val="NormalTok"/>
        </w:rPr>
        <w:t xml:space="preserve">).DEFAULT  </w:t>
      </w:r>
      <w:r>
        <w:rPr>
          <w:rStyle w:val="CommentTok"/>
        </w:rPr>
        <w:t xml:space="preserve"># torchvision&gt;=0.13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models.resnet18(weights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weights)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models.resnet18(pretrained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model.fc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nn.Linear(model.fc.in_features, num_classes)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arch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"mobilenet_v3_small"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(models, </w:t>
      </w:r>
      <w:r>
        <w:rPr>
          <w:rStyle w:val="StringTok"/>
        </w:rPr>
        <w:t xml:space="preserve">"mobilenet_v3_small"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"当前 torchvision 版本不支持 mobilenet_v3_small，请升级 torchvision 或使用 --arch resnet18"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(models, </w:t>
      </w:r>
      <w:r>
        <w:rPr>
          <w:rStyle w:val="StringTok"/>
        </w:rPr>
        <w:t xml:space="preserve">"MobileNet_V3_Small_Weights"</w:t>
      </w:r>
      <w:r>
        <w:rPr>
          <w:rStyle w:val="NormalTok"/>
        </w:rPr>
        <w:t xml:space="preserve">).DEFAULT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models.mobilenet_v3_small(weights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weights)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models.mobilenet_v3_small(pretrained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model.classifier[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nn.Linear(model.classifier[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].in_features, num_classes)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arch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"efficientnet_b0"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(models, </w:t>
      </w:r>
      <w:r>
        <w:rPr>
          <w:rStyle w:val="StringTok"/>
        </w:rPr>
        <w:t xml:space="preserve">"efficientnet_b0"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"当前 torchvision 版本不支持 efficientnet_b0，请升级 torchvision 或使用 --arch resnet18"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(models, </w:t>
      </w:r>
      <w:r>
        <w:rPr>
          <w:rStyle w:val="StringTok"/>
        </w:rPr>
        <w:t xml:space="preserve">"EfficientNet_B0_Weights"</w:t>
      </w:r>
      <w:r>
        <w:rPr>
          <w:rStyle w:val="NormalTok"/>
        </w:rPr>
        <w:t xml:space="preserve">).DEFAULT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models.efficientnet_b0(weights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weights)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models.efficientnet_b0(pretrained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model.classifier[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nn.Linear(model.classifier[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].in_features, num_classes)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f"不支持的 arch: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arch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（可选: resnet18 / mobilenet_v3_small / efficientnet_b0）"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build_transforms(img_size: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Tuple[transforms.Compose, transforms.Compose]:</w:t>
      </w:r>
      <w:r>
        <w:br/>
      </w:r>
      <w:r>
        <w:rPr>
          <w:rStyle w:val="NormalTok"/>
        </w:rPr>
        <w:t xml:space="preserve">    train_tf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transforms.Compose(</w:t>
      </w:r>
      <w:r>
        <w:br/>
      </w:r>
      <w:r>
        <w:rPr>
          <w:rStyle w:val="NormalTok"/>
        </w:rPr>
        <w:t xml:space="preserve">        [</w:t>
      </w:r>
      <w:r>
        <w:br/>
      </w:r>
      <w:r>
        <w:rPr>
          <w:rStyle w:val="NormalTok"/>
        </w:rPr>
        <w:t xml:space="preserve">            transforms.RandomResizedCrop(img_size, scale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transforms.RandomHorizontalFlip(p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transforms.ColorJitter(brightness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contrast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saturation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hue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transforms.ToTensor(),</w:t>
      </w:r>
      <w:r>
        <w:br/>
      </w:r>
      <w:r>
        <w:rPr>
          <w:rStyle w:val="NormalTok"/>
        </w:rPr>
        <w:t xml:space="preserve">            transforms.Normalize(mean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0.485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0.456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0.406</w:t>
      </w:r>
      <w:r>
        <w:rPr>
          <w:rStyle w:val="NormalTok"/>
        </w:rPr>
        <w:t xml:space="preserve">), 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0.229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0.224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0.225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val_tf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transforms.Compose(</w:t>
      </w:r>
      <w:r>
        <w:br/>
      </w:r>
      <w:r>
        <w:rPr>
          <w:rStyle w:val="NormalTok"/>
        </w:rPr>
        <w:t xml:space="preserve">        [</w:t>
      </w:r>
      <w:r>
        <w:br/>
      </w:r>
      <w:r>
        <w:rPr>
          <w:rStyle w:val="NormalTok"/>
        </w:rPr>
        <w:t xml:space="preserve">            transforms.Resize(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(img_size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transforms.CenterCrop(img_size),</w:t>
      </w:r>
      <w:r>
        <w:br/>
      </w:r>
      <w:r>
        <w:rPr>
          <w:rStyle w:val="NormalTok"/>
        </w:rPr>
        <w:t xml:space="preserve">            transforms.ToTensor(),</w:t>
      </w:r>
      <w:r>
        <w:br/>
      </w:r>
      <w:r>
        <w:rPr>
          <w:rStyle w:val="NormalTok"/>
        </w:rPr>
        <w:t xml:space="preserve">            transforms.Normalize(mean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0.485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0.456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0.406</w:t>
      </w:r>
      <w:r>
        <w:rPr>
          <w:rStyle w:val="NormalTok"/>
        </w:rPr>
        <w:t xml:space="preserve">), 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0.229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0.224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0.225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train_tf, val_tf</w:t>
      </w:r>
    </w:p>
    <w:p>
      <w:r>
        <w:pict>
          <v:rect style="width:0;height:1.5pt" o:hralign="center" o:hrstd="t" o:hr="t"/>
        </w:pict>
      </w:r>
    </w:p>
    <w:bookmarkStart w:id="11" w:name="Xbbedf15708ed02f68c7ecc2f3c676919c823d33"/>
    <w:p>
      <w:pPr>
        <w:pStyle w:val="Heading2"/>
      </w:pPr>
      <w:r>
        <w:t xml:space="preserve">1. Définition de la tâche et organisation des données</w:t>
      </w:r>
    </w:p>
    <w:bookmarkStart w:id="9" w:name="définition-de-la-tâche"/>
    <w:p>
      <w:pPr>
        <w:pStyle w:val="Heading3"/>
      </w:pPr>
      <w:r>
        <w:t xml:space="preserve">1.1 Définition de la tâche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Entrée</w:t>
      </w:r>
      <w:r>
        <w:t xml:space="preserve"> </w:t>
      </w:r>
      <w:r>
        <w:t xml:space="preserve">: une image de déchet (papier, plastique, métal, verre, biodéchets, etc.).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Sortie</w:t>
      </w:r>
      <w:r>
        <w:t xml:space="preserve"> </w:t>
      </w:r>
      <w:r>
        <w:t xml:space="preserve">: la catégorie du déchet (y</w:t>
      </w:r>
      <w:r>
        <w:t xml:space="preserve"> </w:t>
      </w:r>
      <w:r>
        <w:t xml:space="preserve">{0,1,</w:t>
      </w:r>
      <w:r>
        <w:t xml:space="preserve">,C-1}).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Objectif d’apprentissage</w:t>
      </w:r>
      <w:r>
        <w:t xml:space="preserve"> </w:t>
      </w:r>
      <w:r>
        <w:t xml:space="preserve">: minimiser la perte de classification (entropie croisée), améliorer l’exactitude sur l’ensemble de validation et conserver une bonne capacité de généralisation en test / en conditions réelles.</w:t>
      </w:r>
    </w:p>
    <w:bookmarkEnd w:id="9"/>
    <w:bookmarkStart w:id="10" w:name="X0ae9b246edc7412e883c7780bb77b8233f65289"/>
    <w:p>
      <w:pPr>
        <w:pStyle w:val="Heading3"/>
      </w:pPr>
      <w:r>
        <w:t xml:space="preserve">1.2 Structure recommandée du répertoire de données (ImageFolder)</w:t>
      </w:r>
    </w:p>
    <w:p>
      <w:pPr>
        <w:pStyle w:val="FirstParagraph"/>
      </w:pPr>
      <w:r>
        <w:t xml:space="preserve">Le script d’entraînement utilise</w:t>
      </w:r>
      <w:r>
        <w:t xml:space="preserve"> </w:t>
      </w:r>
      <w:r>
        <w:rPr>
          <w:rStyle w:val="VerbatimChar"/>
        </w:rPr>
        <w:t xml:space="preserve">torchvision.datasets.ImageFolder</w:t>
      </w:r>
      <w:r>
        <w:t xml:space="preserve">, la structure du dataset est donc recommandée comme suit :</w:t>
      </w:r>
    </w:p>
    <w:p>
      <w:pPr>
        <w:pStyle w:val="SourceCode"/>
      </w:pPr>
      <w:r>
        <w:rPr>
          <w:rStyle w:val="VerbatimChar"/>
        </w:rPr>
        <w:t xml:space="preserve">your_dataset/</w:t>
      </w:r>
      <w:r>
        <w:br/>
      </w:r>
      <w:r>
        <w:rPr>
          <w:rStyle w:val="VerbatimChar"/>
        </w:rPr>
        <w:t xml:space="preserve">  train/</w:t>
      </w:r>
      <w:r>
        <w:br/>
      </w:r>
      <w:r>
        <w:rPr>
          <w:rStyle w:val="VerbatimChar"/>
        </w:rPr>
        <w:t xml:space="preserve">    plastic/</w:t>
      </w:r>
      <w:r>
        <w:br/>
      </w:r>
      <w:r>
        <w:rPr>
          <w:rStyle w:val="VerbatimChar"/>
        </w:rPr>
        <w:t xml:space="preserve">      xxx.jpg</w:t>
      </w:r>
      <w:r>
        <w:br/>
      </w:r>
      <w:r>
        <w:rPr>
          <w:rStyle w:val="VerbatimChar"/>
        </w:rPr>
        <w:t xml:space="preserve">    paper/</w:t>
      </w:r>
      <w:r>
        <w:br/>
      </w:r>
      <w:r>
        <w:rPr>
          <w:rStyle w:val="VerbatimChar"/>
        </w:rPr>
        <w:t xml:space="preserve">      yyy.jpg</w:t>
      </w:r>
      <w:r>
        <w:br/>
      </w:r>
      <w:r>
        <w:rPr>
          <w:rStyle w:val="VerbatimChar"/>
        </w:rPr>
        <w:t xml:space="preserve">  val/</w:t>
      </w:r>
      <w:r>
        <w:br/>
      </w:r>
      <w:r>
        <w:rPr>
          <w:rStyle w:val="VerbatimChar"/>
        </w:rPr>
        <w:t xml:space="preserve">    plastic/</w:t>
      </w:r>
      <w:r>
        <w:br/>
      </w:r>
      <w:r>
        <w:rPr>
          <w:rStyle w:val="VerbatimChar"/>
        </w:rPr>
        <w:t xml:space="preserve">      a.jpg</w:t>
      </w:r>
      <w:r>
        <w:br/>
      </w:r>
      <w:r>
        <w:rPr>
          <w:rStyle w:val="VerbatimChar"/>
        </w:rPr>
        <w:t xml:space="preserve">    paper/</w:t>
      </w:r>
      <w:r>
        <w:br/>
      </w:r>
      <w:r>
        <w:rPr>
          <w:rStyle w:val="VerbatimChar"/>
        </w:rPr>
        <w:t xml:space="preserve">      b.jpg</w:t>
      </w:r>
    </w:p>
    <w:p>
      <w:pPr>
        <w:pStyle w:val="FirstParagraph"/>
      </w:pPr>
      <w:r>
        <w:t xml:space="preserve">Note :</w:t>
      </w:r>
      <w:r>
        <w:t xml:space="preserve"> </w:t>
      </w:r>
      <w:r>
        <w:rPr>
          <w:b/>
          <w:bCs/>
        </w:rPr>
        <w:t xml:space="preserve">le nom de chaque sous-dossier = le nom de la classe</w:t>
      </w:r>
      <w:r>
        <w:t xml:space="preserve">. Le script génère automatiquement</w:t>
      </w:r>
      <w:r>
        <w:t xml:space="preserve"> </w:t>
      </w:r>
      <w:r>
        <w:rPr>
          <w:rStyle w:val="VerbatimChar"/>
        </w:rPr>
        <w:t xml:space="preserve">classes.json</w:t>
      </w:r>
      <w:r>
        <w:t xml:space="preserve"> </w:t>
      </w:r>
      <w:r>
        <w:t xml:space="preserve">pour enregistrer la correspondance index ↔ classe.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Xaa1454652317943529694e345abf78a4fea88de"/>
    <w:p>
      <w:pPr>
        <w:pStyle w:val="Heading2"/>
      </w:pPr>
      <w:r>
        <w:t xml:space="preserve">2. Conception de l’algorithme d’entraînement du modèle</w:t>
      </w:r>
    </w:p>
    <w:bookmarkStart w:id="12" w:name="Xa47b9f69d14401f7839a3acf47de94a15309b0e"/>
    <w:p>
      <w:pPr>
        <w:pStyle w:val="Heading3"/>
      </w:pPr>
      <w:r>
        <w:t xml:space="preserve">2.1 Pourquoi utiliser le transfert d’apprentissage (Transfer Learning)</w:t>
      </w:r>
    </w:p>
    <w:p>
      <w:pPr>
        <w:pStyle w:val="FirstParagraph"/>
      </w:pPr>
      <w:r>
        <w:t xml:space="preserve">Problèmes fréquents en classification de déchets :</w:t>
      </w:r>
    </w:p>
    <w:p>
      <w:pPr>
        <w:pStyle w:val="Compact"/>
        <w:numPr>
          <w:ilvl w:val="0"/>
          <w:numId w:val="1002"/>
        </w:numPr>
      </w:pPr>
      <w:r>
        <w:t xml:space="preserve">Volume de données limité, scènes complexes (variations d’éclairage, arrière-plan, occultations, angles de prise de vue).</w:t>
      </w:r>
    </w:p>
    <w:p>
      <w:pPr>
        <w:pStyle w:val="Compact"/>
        <w:numPr>
          <w:ilvl w:val="0"/>
          <w:numId w:val="1002"/>
        </w:numPr>
      </w:pPr>
      <w:r>
        <w:t xml:space="preserve">Un entraînement “from scratch” sur-ajuste facilement et converge plus lentement.</w:t>
      </w:r>
    </w:p>
    <w:p>
      <w:pPr>
        <w:pStyle w:val="FirstParagraph"/>
      </w:pPr>
      <w:r>
        <w:t xml:space="preserve">Principe du transfert d’apprentissage :</w:t>
      </w:r>
    </w:p>
    <w:p>
      <w:pPr>
        <w:pStyle w:val="Compact"/>
        <w:numPr>
          <w:ilvl w:val="0"/>
          <w:numId w:val="1003"/>
        </w:numPr>
      </w:pPr>
      <w:r>
        <w:t xml:space="preserve">Utiliser un backbone pré-entraîné sur ImageNet (ResNet / MobileNet / EfficientNet) comme extracteur de caractéristiques.</w:t>
      </w:r>
    </w:p>
    <w:p>
      <w:pPr>
        <w:pStyle w:val="Compact"/>
        <w:numPr>
          <w:ilvl w:val="0"/>
          <w:numId w:val="1003"/>
        </w:numPr>
      </w:pPr>
      <w:r>
        <w:t xml:space="preserve">Remplacer la dernière couche de classification par une couche adaptée au nombre de classes (C), puis affiner (fine-tuning).</w:t>
      </w:r>
    </w:p>
    <w:p>
      <w:pPr>
        <w:pStyle w:val="FirstParagraph"/>
      </w:pPr>
      <w:r>
        <w:t xml:space="preserve">Avantages 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Convergence plus rapide</w:t>
      </w:r>
      <w:r>
        <w:t xml:space="preserve">,</w:t>
      </w:r>
      <w:r>
        <w:t xml:space="preserve"> </w:t>
      </w:r>
      <w:r>
        <w:rPr>
          <w:b/>
          <w:bCs/>
        </w:rPr>
        <w:t xml:space="preserve">meilleur point de départ</w:t>
      </w:r>
      <w:r>
        <w:t xml:space="preserve">, plus robuste quand les données sont peu nombreuses.</w:t>
      </w:r>
    </w:p>
    <w:bookmarkEnd w:id="12"/>
    <w:bookmarkStart w:id="13" w:name="choix-de-larchitecture-réseau"/>
    <w:p>
      <w:pPr>
        <w:pStyle w:val="Heading3"/>
      </w:pPr>
      <w:r>
        <w:t xml:space="preserve">2.2 Choix de l’architecture réseau</w:t>
      </w:r>
    </w:p>
    <w:p>
      <w:pPr>
        <w:pStyle w:val="FirstParagraph"/>
      </w:pPr>
      <w:r>
        <w:t xml:space="preserve">Le script propose trois backbones possibles 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resnet18</w:t>
      </w:r>
      <w:r>
        <w:t xml:space="preserve"> </w:t>
      </w:r>
      <w:r>
        <w:t xml:space="preserve">: entraînement stable, vitesse correcte, bon modèle de base (baseline) pour comparer.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mobilenet_v3_small</w:t>
      </w:r>
      <w:r>
        <w:t xml:space="preserve"> </w:t>
      </w:r>
      <w:r>
        <w:t xml:space="preserve">: très léger, adapté à un déploiement edge / embarqué.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efficientnet_b0</w:t>
      </w:r>
      <w:r>
        <w:t xml:space="preserve"> </w:t>
      </w:r>
      <w:r>
        <w:t xml:space="preserve">: potentiel de précision plus élevé, coût d’entraînement légèrement supérieur.</w:t>
      </w:r>
    </w:p>
    <w:p>
      <w:pPr>
        <w:pStyle w:val="FirstParagraph"/>
      </w:pPr>
      <w:r>
        <w:t xml:space="preserve">Dans le rapport, on peut réaliser une comparaison : nombre de paramètres, vitesse, exactitude.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9f38fd0068d3c83755c6b7b46a1dd0ed1233c17"/>
    <w:p>
      <w:pPr>
        <w:pStyle w:val="Heading2"/>
      </w:pPr>
      <w:r>
        <w:t xml:space="preserve">3. Prétraitement des données et augmentation (data augmentation)</w:t>
      </w:r>
    </w:p>
    <w:p>
      <w:pPr>
        <w:pStyle w:val="FirstParagraph"/>
      </w:pPr>
      <w:r>
        <w:t xml:space="preserve">Objectifs des augmentations à l’entraînement (</w:t>
      </w:r>
      <w:r>
        <w:rPr>
          <w:rStyle w:val="VerbatimChar"/>
        </w:rPr>
        <w:t xml:space="preserve">RandomResizedCrop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HorizontalFlip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ColorJitter</w:t>
      </w:r>
      <w:r>
        <w:t xml:space="preserve">) :</w:t>
      </w:r>
    </w:p>
    <w:p>
      <w:pPr>
        <w:pStyle w:val="Compact"/>
        <w:numPr>
          <w:ilvl w:val="0"/>
          <w:numId w:val="1006"/>
        </w:numPr>
      </w:pPr>
      <w:r>
        <w:t xml:space="preserve">Simuler différentes distances/angles : recadrage + redimensionnement aléatoires.</w:t>
      </w:r>
    </w:p>
    <w:p>
      <w:pPr>
        <w:pStyle w:val="Compact"/>
        <w:numPr>
          <w:ilvl w:val="0"/>
          <w:numId w:val="1006"/>
        </w:numPr>
      </w:pPr>
      <w:r>
        <w:t xml:space="preserve">Simuler des variations de point de vue : flip horizontal.</w:t>
      </w:r>
    </w:p>
    <w:p>
      <w:pPr>
        <w:pStyle w:val="Compact"/>
        <w:numPr>
          <w:ilvl w:val="0"/>
          <w:numId w:val="1006"/>
        </w:numPr>
      </w:pPr>
      <w:r>
        <w:t xml:space="preserve">Simuler des variations de lumière/couleur : perturbations luminosité/contraste/saturation.</w:t>
      </w:r>
    </w:p>
    <w:p>
      <w:pPr>
        <w:pStyle w:val="FirstParagraph"/>
      </w:pPr>
      <w:r>
        <w:t xml:space="preserve">En validation, on applique seulement</w:t>
      </w:r>
      <w:r>
        <w:t xml:space="preserve"> </w:t>
      </w:r>
      <w:r>
        <w:rPr>
          <w:rStyle w:val="VerbatimChar"/>
        </w:rPr>
        <w:t xml:space="preserve">Resize + CenterCrop</w:t>
      </w:r>
      <w:r>
        <w:t xml:space="preserve"> </w:t>
      </w:r>
      <w:r>
        <w:t xml:space="preserve">pour éviter l’aléatoire et rendre les métriques comparables.</w:t>
      </w:r>
    </w:p>
    <w:p>
      <w:pPr>
        <w:pStyle w:val="BodyText"/>
      </w:pPr>
      <w:r>
        <w:t xml:space="preserve">La normalisation</w:t>
      </w:r>
      <w:r>
        <w:t xml:space="preserve"> </w:t>
      </w:r>
      <w:r>
        <w:rPr>
          <w:rStyle w:val="VerbatimChar"/>
        </w:rPr>
        <w:t xml:space="preserve">Normalize</w:t>
      </w:r>
      <w:r>
        <w:t xml:space="preserve"> </w:t>
      </w:r>
      <w:r>
        <w:t xml:space="preserve">utilise la moyenne/écart-type ImageNet pour rester cohérent avec les poids pré-entraînés.</w:t>
      </w:r>
    </w:p>
    <w:p>
      <w:r>
        <w:pict>
          <v:rect style="width:0;height:1.5pt" o:hralign="center" o:hrstd="t" o:hr="t"/>
        </w:pict>
      </w:r>
    </w:p>
    <w:bookmarkEnd w:id="15"/>
    <w:bookmarkStart w:id="19" w:name="X301896877980e3fc8761a88eba1537aea8e88cf"/>
    <w:p>
      <w:pPr>
        <w:pStyle w:val="Heading2"/>
      </w:pPr>
      <w:r>
        <w:t xml:space="preserve">4. Fonction de perte, optimiseur et stratégie de taux d’apprentissage</w:t>
      </w:r>
    </w:p>
    <w:bookmarkStart w:id="16" w:name="X6dfb4306165eaec9722e828c7f907a916206e20"/>
    <w:p>
      <w:pPr>
        <w:pStyle w:val="Heading3"/>
      </w:pPr>
      <w:r>
        <w:t xml:space="preserve">4.1 Fonction de perte : entropie croisée (Cross Entropy)</w:t>
      </w:r>
    </w:p>
    <w:p>
      <w:pPr>
        <w:pStyle w:val="FirstParagraph"/>
      </w:pPr>
      <w:r>
        <w:t xml:space="preserve">Pour une classification multi-classes à étiquette unique :</w:t>
      </w:r>
      <w:r>
        <w:t xml:space="preserve"> </w:t>
      </w:r>
      <w:r>
        <w:t xml:space="preserve">[</w:t>
      </w:r>
      <w:r>
        <w:t xml:space="preserve"> </w:t>
      </w:r>
      <w:r>
        <w:t xml:space="preserve"> </w:t>
      </w:r>
      <w:r>
        <w:t xml:space="preserve">= -</w:t>
      </w:r>
      <w:r>
        <w:t xml:space="preserve"> </w:t>
      </w:r>
      <w:r>
        <w:t xml:space="preserve">_{i=1}^{C} y_i</w:t>
      </w:r>
      <w:r>
        <w:t xml:space="preserve"> </w:t>
      </w:r>
      <w:r>
        <w:t xml:space="preserve">p_i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Le script supporte</w:t>
      </w:r>
      <w:r>
        <w:t xml:space="preserve"> </w:t>
      </w:r>
      <w:r>
        <w:rPr>
          <w:rStyle w:val="VerbatimChar"/>
        </w:rPr>
        <w:t xml:space="preserve">label_smoothing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Rôle : réduire l’excès de confiance du modèle, atténuer le surapprentissage sur petit dataset et améliorer la généralisation.</w:t>
      </w:r>
    </w:p>
    <w:p>
      <w:pPr>
        <w:pStyle w:val="Compact"/>
        <w:numPr>
          <w:ilvl w:val="0"/>
          <w:numId w:val="1007"/>
        </w:numPr>
      </w:pPr>
      <w:r>
        <w:t xml:space="preserve">Plage conseillée : 0 à 0.2 (souvent 0.05 / 0.1).</w:t>
      </w:r>
    </w:p>
    <w:bookmarkEnd w:id="16"/>
    <w:bookmarkStart w:id="17" w:name="optimiseur-adamw"/>
    <w:p>
      <w:pPr>
        <w:pStyle w:val="Heading3"/>
      </w:pPr>
      <w:r>
        <w:t xml:space="preserve">4.2 Optimiseur : AdamW</w:t>
      </w:r>
    </w:p>
    <w:p>
      <w:pPr>
        <w:pStyle w:val="FirstParagraph"/>
      </w:pPr>
      <w:r>
        <w:t xml:space="preserve">Raisons du choix :</w:t>
      </w:r>
    </w:p>
    <w:p>
      <w:pPr>
        <w:pStyle w:val="Compact"/>
        <w:numPr>
          <w:ilvl w:val="0"/>
          <w:numId w:val="1008"/>
        </w:numPr>
      </w:pPr>
      <w:r>
        <w:t xml:space="preserve">Adam (taux d’apprentissage adaptatif) converge plus vite.</w:t>
      </w:r>
    </w:p>
    <w:p>
      <w:pPr>
        <w:pStyle w:val="Compact"/>
        <w:numPr>
          <w:ilvl w:val="0"/>
          <w:numId w:val="1008"/>
        </w:numPr>
      </w:pPr>
      <w:r>
        <w:t xml:space="preserve">W (weight decay découplé) se combine mieux à la régularisation.</w:t>
      </w:r>
    </w:p>
    <w:bookmarkEnd w:id="17"/>
    <w:bookmarkStart w:id="18" w:name="Xd0b411652b4daa91b087d2ae6c6df204a8b8709"/>
    <w:p>
      <w:pPr>
        <w:pStyle w:val="Heading3"/>
      </w:pPr>
      <w:r>
        <w:t xml:space="preserve">4.3 Planification du taux d’apprentissage : CosineAnnealingLR</w:t>
      </w:r>
    </w:p>
    <w:p>
      <w:pPr>
        <w:pStyle w:val="FirstParagraph"/>
      </w:pPr>
      <w:r>
        <w:t xml:space="preserve">La décroissance cosinus est robuste pour les tâches de classification de taille moyenne/petite :</w:t>
      </w:r>
    </w:p>
    <w:p>
      <w:pPr>
        <w:pStyle w:val="Compact"/>
        <w:numPr>
          <w:ilvl w:val="0"/>
          <w:numId w:val="1009"/>
        </w:numPr>
      </w:pPr>
      <w:r>
        <w:t xml:space="preserve">Au début : LR plus grand, baisse rapide de la perte.</w:t>
      </w:r>
    </w:p>
    <w:p>
      <w:pPr>
        <w:pStyle w:val="Compact"/>
        <w:numPr>
          <w:ilvl w:val="0"/>
          <w:numId w:val="1009"/>
        </w:numPr>
      </w:pPr>
      <w:r>
        <w:t xml:space="preserve">En fin d’entraînement : LR plus petit, convergence fine et amélioration de la performance en validation.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bd39297dd5f2343c2904bfe4af55d1ece379318"/>
    <w:p>
      <w:pPr>
        <w:pStyle w:val="Heading2"/>
      </w:pPr>
      <w:r>
        <w:t xml:space="preserve">5. Pipeline d’entraînement et détails d’ingénierie</w:t>
      </w:r>
    </w:p>
    <w:p>
      <w:pPr>
        <w:pStyle w:val="FirstParagraph"/>
      </w:pPr>
      <w:r>
        <w:t xml:space="preserve">Le script</w:t>
      </w:r>
      <w:r>
        <w:t xml:space="preserve"> </w:t>
      </w:r>
      <w:r>
        <w:rPr>
          <w:rStyle w:val="VerbatimChar"/>
        </w:rPr>
        <w:t xml:space="preserve">train_garbage_classifier.py</w:t>
      </w:r>
      <w:r>
        <w:t xml:space="preserve"> </w:t>
      </w:r>
      <w:r>
        <w:t xml:space="preserve">inclut les choix d’ingénierie suivants 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Graine aléatoire fixée</w:t>
      </w:r>
      <w:r>
        <w:t xml:space="preserve"> </w:t>
      </w:r>
      <w:r>
        <w:t xml:space="preserve">: reproductibilité.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Sauvegarde automatique de la configuration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(utile pour le rapport et la reproduction).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Sauvegarde des poids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checkpoints/last.pt</w:t>
      </w:r>
      <w:r>
        <w:t xml:space="preserve"> </w:t>
      </w:r>
      <w:r>
        <w:t xml:space="preserve">: dernière époque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checkpoints/best.pt</w:t>
      </w:r>
      <w:r>
        <w:t xml:space="preserve"> </w:t>
      </w:r>
      <w:r>
        <w:t xml:space="preserve">: meilleur score en validation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Early Stopping</w:t>
      </w:r>
      <w:r>
        <w:t xml:space="preserve"> </w:t>
      </w:r>
      <w:r>
        <w:t xml:space="preserve">: arrêt si pas d’amélioration sur</w:t>
      </w:r>
      <w:r>
        <w:t xml:space="preserve"> </w:t>
      </w:r>
      <w:r>
        <w:rPr>
          <w:rStyle w:val="VerbatimChar"/>
        </w:rPr>
        <w:t xml:space="preserve">patience</w:t>
      </w:r>
      <w:r>
        <w:t xml:space="preserve"> </w:t>
      </w:r>
      <w:r>
        <w:t xml:space="preserve">époques (évite surapprentissage et gaspillage).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AMP (optionnel)</w:t>
      </w:r>
      <w:r>
        <w:t xml:space="preserve"> </w:t>
      </w:r>
      <w:r>
        <w:t xml:space="preserve">: accélération sur CUDA et réduction de l’usage mémoire.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Logs d’entraînement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metrics.csv</w:t>
      </w:r>
      <w:r>
        <w:t xml:space="preserve"> </w:t>
      </w:r>
      <w:r>
        <w:t xml:space="preserve">(loss/acc train &amp; val, LR, temps par époque).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Matrice de confusion</w:t>
      </w:r>
      <w:r>
        <w:t xml:space="preserve"> </w:t>
      </w:r>
      <w:r>
        <w:t xml:space="preserve">: export</w:t>
      </w:r>
      <w:r>
        <w:t xml:space="preserve"> </w:t>
      </w:r>
      <w:r>
        <w:rPr>
          <w:rStyle w:val="VerbatimChar"/>
        </w:rPr>
        <w:t xml:space="preserve">confusion.npy</w:t>
      </w:r>
      <w:r>
        <w:t xml:space="preserve"> </w:t>
      </w:r>
      <w:r>
        <w:t xml:space="preserve">en fin d’entraînement pour analyser les confusions de classes.</w:t>
      </w:r>
    </w:p>
    <w:p>
      <w:r>
        <w:pict>
          <v:rect style="width:0;height:1.5pt" o:hralign="center" o:hrstd="t" o:hr="t"/>
        </w:pict>
      </w:r>
    </w:p>
    <w:bookmarkEnd w:id="20"/>
    <w:bookmarkStart w:id="23" w:name="X619140b1add81838ffe2f1d6117d53f289acc14"/>
    <w:p>
      <w:pPr>
        <w:pStyle w:val="Heading2"/>
      </w:pPr>
      <w:r>
        <w:t xml:space="preserve">6. Métriques d’évaluation et méthodes d’analyse</w:t>
      </w:r>
    </w:p>
    <w:bookmarkStart w:id="21" w:name="indicateurs"/>
    <w:p>
      <w:pPr>
        <w:pStyle w:val="Heading3"/>
      </w:pPr>
      <w:r>
        <w:t xml:space="preserve">6.1 Indicateurs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Top-1 Accuracy</w:t>
      </w:r>
      <w:r>
        <w:t xml:space="preserve"> </w:t>
      </w:r>
      <w:r>
        <w:t xml:space="preserve">: taux de classification correcte le plus direct.</w:t>
      </w:r>
    </w:p>
    <w:p>
      <w:pPr>
        <w:pStyle w:val="Compact"/>
        <w:numPr>
          <w:ilvl w:val="0"/>
          <w:numId w:val="1012"/>
        </w:numPr>
      </w:pPr>
      <w:r>
        <w:t xml:space="preserve">(Option) Precision/Recall/F1 : plus pertinent si certaines classes sont rares ou si le coût des erreurs est élevé.</w:t>
      </w:r>
    </w:p>
    <w:bookmarkEnd w:id="21"/>
    <w:bookmarkStart w:id="22" w:name="analyse-via-matrice-de-confusion"/>
    <w:p>
      <w:pPr>
        <w:pStyle w:val="Heading3"/>
      </w:pPr>
      <w:r>
        <w:t xml:space="preserve">6.2 Analyse via matrice de confusion</w:t>
      </w:r>
    </w:p>
    <w:p>
      <w:pPr>
        <w:pStyle w:val="FirstParagraph"/>
      </w:pPr>
      <w:r>
        <w:t xml:space="preserve">La matrice de confusion permet de répondre à :</w:t>
      </w:r>
    </w:p>
    <w:p>
      <w:pPr>
        <w:pStyle w:val="Compact"/>
        <w:numPr>
          <w:ilvl w:val="0"/>
          <w:numId w:val="1013"/>
        </w:numPr>
      </w:pPr>
      <w:r>
        <w:t xml:space="preserve">Quelles classes se ressemblent visuellement (ex. plastique transparent vs verre) et sont souvent confondues ?</w:t>
      </w:r>
    </w:p>
    <w:p>
      <w:pPr>
        <w:pStyle w:val="Compact"/>
        <w:numPr>
          <w:ilvl w:val="0"/>
          <w:numId w:val="1013"/>
        </w:numPr>
      </w:pPr>
      <w:r>
        <w:t xml:space="preserve">Existe-t-il des problèmes d’annotation ou des frontières de classes ambiguës ?</w:t>
      </w:r>
    </w:p>
    <w:p>
      <w:pPr>
        <w:pStyle w:val="FirstParagraph"/>
      </w:pPr>
      <w:r>
        <w:t xml:space="preserve">Recommandation dans le rapport :</w:t>
      </w:r>
    </w:p>
    <w:p>
      <w:pPr>
        <w:pStyle w:val="Compact"/>
        <w:numPr>
          <w:ilvl w:val="0"/>
          <w:numId w:val="1014"/>
        </w:numPr>
      </w:pPr>
      <w:r>
        <w:t xml:space="preserve">Montrer des exemples typiques de confusion (captures d’écran).</w:t>
      </w:r>
    </w:p>
    <w:p>
      <w:pPr>
        <w:pStyle w:val="Compact"/>
        <w:numPr>
          <w:ilvl w:val="0"/>
          <w:numId w:val="1014"/>
        </w:numPr>
      </w:pPr>
      <w:r>
        <w:t xml:space="preserve">Proposer des pistes d’amélioration : ajouter des données, affiner les classes, s’aider de segmentation/détection, etc.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omment-lancer-lentraînement"/>
    <w:p>
      <w:pPr>
        <w:pStyle w:val="Heading2"/>
      </w:pPr>
      <w:r>
        <w:t xml:space="preserve">7. Comment lancer l’entraînement</w:t>
      </w:r>
    </w:p>
    <w:p>
      <w:pPr>
        <w:pStyle w:val="FirstParagraph"/>
      </w:pPr>
      <w:r>
        <w:t xml:space="preserve">À exécuter depuis la racine du projet 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机器学习/ext-智能垃圾类型识别/train_garbage_classifier.py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--data-dir</w:t>
      </w:r>
      <w:r>
        <w:rPr>
          <w:rStyle w:val="NormalTok"/>
        </w:rPr>
        <w:t xml:space="preserve"> /path/to/your_dataset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--arch</w:t>
      </w:r>
      <w:r>
        <w:rPr>
          <w:rStyle w:val="NormalTok"/>
        </w:rPr>
        <w:t xml:space="preserve"> resnet18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--epochs</w:t>
      </w:r>
      <w:r>
        <w:rPr>
          <w:rStyle w:val="NormalTok"/>
        </w:rPr>
        <w:t xml:space="preserve"> 30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--batch-size</w:t>
      </w:r>
      <w:r>
        <w:rPr>
          <w:rStyle w:val="NormalTok"/>
        </w:rPr>
        <w:t xml:space="preserve"> 32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--img-size</w:t>
      </w:r>
      <w:r>
        <w:rPr>
          <w:rStyle w:val="NormalTok"/>
        </w:rPr>
        <w:t xml:space="preserve"> 224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--lr</w:t>
      </w:r>
      <w:r>
        <w:rPr>
          <w:rStyle w:val="NormalTok"/>
        </w:rPr>
        <w:t xml:space="preserve"> 3e-4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--weight-decay</w:t>
      </w:r>
      <w:r>
        <w:rPr>
          <w:rStyle w:val="NormalTok"/>
        </w:rPr>
        <w:t xml:space="preserve"> 1e-4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--label-smoothing</w:t>
      </w:r>
      <w:r>
        <w:rPr>
          <w:rStyle w:val="NormalTok"/>
        </w:rPr>
        <w:t xml:space="preserve"> 0.05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--patience</w:t>
      </w:r>
      <w:r>
        <w:rPr>
          <w:rStyle w:val="NormalTok"/>
        </w:rPr>
        <w:t xml:space="preserve"> 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--amp</w:t>
      </w:r>
    </w:p>
    <w:p>
      <w:pPr>
        <w:pStyle w:val="FirstParagraph"/>
      </w:pPr>
      <w:r>
        <w:t xml:space="preserve">Les sorties d’entraînement se trouvent dans 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rFonts w:hint="eastAsia"/>
        </w:rPr>
        <w:t xml:space="preserve">./runs_garbage/日期时间/</w:t>
      </w:r>
    </w:p>
    <w:p>
      <w:pPr>
        <w:pStyle w:val="FirstParagraph"/>
      </w:pPr>
      <w:r>
        <w:t xml:space="preserve">Fichiers clés 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checkpoints/best.pt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classes.json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metrics.csv</w:t>
      </w:r>
    </w:p>
    <w:p>
      <w:r>
        <w:pict>
          <v:rect style="width:0;height:1.5pt" o:hralign="center" o:hrstd="t" o:hr="t"/>
        </w:pict>
      </w:r>
    </w:p>
    <w:bookmarkEnd w:id="24"/>
    <w:bookmarkStart w:id="25" w:name="pistes-damélioration-bonus"/>
    <w:p>
      <w:pPr>
        <w:pStyle w:val="Heading2"/>
      </w:pPr>
      <w:r>
        <w:t xml:space="preserve">8. Pistes d’amélioration (bonus)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Données</w:t>
      </w:r>
      <w:r>
        <w:t xml:space="preserve"> </w:t>
      </w:r>
      <w:r>
        <w:t xml:space="preserve">: enrichir les scènes (lumière/arrière-plan/occlusion), équilibrer le nombre d’échantillons par classe (ou ré-échantillonnage / pondération).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Modèle</w:t>
      </w:r>
      <w:r>
        <w:t xml:space="preserve"> </w:t>
      </w:r>
      <w:r>
        <w:t xml:space="preserve">: essayer EfficientNet-B0, ajouter Dropout, renforcer les augmentations (RandAugment/MixUp/CutMix).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Entraînement</w:t>
      </w:r>
      <w:r>
        <w:t xml:space="preserve"> </w:t>
      </w:r>
      <w:r>
        <w:t xml:space="preserve">: warmup du LR, geler les premières couches puis dégeler progressivement, validation croisée K-fold.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Montée en complexité</w:t>
      </w:r>
      <w:r>
        <w:t xml:space="preserve"> </w:t>
      </w:r>
      <w:r>
        <w:t xml:space="preserve">: si une image contient plusieurs déchets ou si la localisation est nécessaire, utiliser la détection (YOLO) ou la segmentation.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2025-12-25T07:57:43Z</dcterms:created>
  <dcterms:modified xsi:type="dcterms:W3CDTF">2025-12-25T07:57:43Z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