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Exhibition Statement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Cripping Time Across Realities </w:t>
      </w:r>
      <w:r w:rsidDel="00000000" w:rsidR="00000000" w:rsidRPr="00000000">
        <w:rPr>
          <w:rFonts w:ascii="Times New Roman" w:cs="Times New Roman" w:eastAsia="Times New Roman" w:hAnsi="Times New Roman"/>
          <w:rtl w:val="0"/>
        </w:rPr>
        <w:t xml:space="preserve">showcases art-based reflections on temporality from seven Cornell students and staff who identify as disabled and/or neurodiverse. Drawing on the concept of “crip time,” a non-normative conception of time that originated in disability communities to describe the experiences, wants and needs of disabled bodyminds moving through the world, the exhibition’s art and interactive pieces invite users to question time itself: their prior perceptions, their lived experience of it, and what it means to “crip” time.  </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