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1F6E6B"/>
          <w:sz w:val="30"/>
          <w:szCs w:val="30"/>
        </w:rPr>
        <w:t xml:space="preserve">Modelleme Raporu — CatBoost &amp; Ridge Regression</w:t>
      </w:r>
    </w:p>
    <w:p>
      <w:pPr>
        <w:spacing w:after="40"/>
      </w:pPr>
      <w:r>
        <w:rPr>
          <w:color w:val="666666"/>
          <w:sz w:val="20"/>
          <w:szCs w:val="20"/>
        </w:rPr>
        <w:t xml:space="preserve">Küresel Isınma, Aşırı Hava Olayları ve Göç İlişkisi Projesi</w:t>
      </w:r>
    </w:p>
    <w:p>
      <w:pPr>
        <w:spacing w:after="240"/>
      </w:pPr>
      <w:r>
        <w:rPr>
          <w:i/>
          <w:iCs/>
          <w:color w:val="666666"/>
          <w:sz w:val="18"/>
          <w:szCs w:val="18"/>
        </w:rPr>
        <w:t xml:space="preserve">Hazırlayan: Dilan · Machine Learning Engineer</w:t>
      </w:r>
    </w:p>
    <w:p>
      <w:pPr>
        <w:pStyle w:val="Heading2"/>
        <w:spacing w:after="120" w:before="300"/>
      </w:pPr>
      <w:r>
        <w:rPr>
          <w:b/>
          <w:bCs/>
          <w:color w:val="1F6E6B"/>
          <w:sz w:val="24"/>
          <w:szCs w:val="24"/>
        </w:rPr>
        <w:t xml:space="preserve">1. Model Seçiminin Gerekçesi</w:t>
      </w:r>
    </w:p>
    <w:p>
      <w:pPr>
        <w:spacing w:after="120"/>
      </w:pPr>
      <w:r>
        <w:rPr>
          <w:sz w:val="20"/>
          <w:szCs w:val="20"/>
        </w:rPr>
        <w:t xml:space="preserve">İki model karşılaştırılmıştır. Modeller rastgele değil, farklı algoritma ailelerinden seçilmiştir: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shd w:fill="EFF5F4" w:val="clear"/>
            <w:tcMar>
              <w:top w:type="dxa" w:w="70"/>
              <w:left w:type="dxa" w:w="110"/>
              <w:bottom w:type="dxa" w:w="70"/>
              <w:right w:type="dxa" w:w="110"/>
            </w:tcMar>
          </w:tcPr>
          <w:p>
            <w:pPr>
              <w:spacing w:after="20" w:before="20"/>
              <w:jc w:val="left"/>
            </w:pPr>
            <w:r>
              <w:rPr>
                <w:b/>
                <w:bCs/>
                <w:color w:val="1F6E6B"/>
                <w:sz w:val="19"/>
                <w:szCs w:val="19"/>
              </w:rPr>
              <w:t xml:space="preserve">Model</w:t>
            </w:r>
          </w:p>
        </w:tc>
        <w:tc>
          <w:tcPr>
            <w:tcW w:type="dxa" w:w="2600"/>
            <w:shd w:fill="EFF5F4" w:val="clear"/>
            <w:tcMar>
              <w:top w:type="dxa" w:w="70"/>
              <w:left w:type="dxa" w:w="110"/>
              <w:bottom w:type="dxa" w:w="70"/>
              <w:right w:type="dxa" w:w="110"/>
            </w:tcMar>
          </w:tcPr>
          <w:p>
            <w:pPr>
              <w:spacing w:after="20" w:before="20"/>
              <w:jc w:val="center"/>
            </w:pPr>
            <w:r>
              <w:rPr>
                <w:b/>
                <w:bCs/>
                <w:color w:val="1F6E6B"/>
                <w:sz w:val="19"/>
                <w:szCs w:val="19"/>
              </w:rPr>
              <w:t xml:space="preserve">Aile</w:t>
            </w:r>
          </w:p>
        </w:tc>
        <w:tc>
          <w:tcPr>
            <w:tcW w:type="dxa" w:w="3800"/>
            <w:shd w:fill="EFF5F4" w:val="clear"/>
            <w:tcMar>
              <w:top w:type="dxa" w:w="70"/>
              <w:left w:type="dxa" w:w="110"/>
              <w:bottom w:type="dxa" w:w="70"/>
              <w:right w:type="dxa" w:w="110"/>
            </w:tcMar>
          </w:tcPr>
          <w:p>
            <w:pPr>
              <w:spacing w:after="20" w:before="20"/>
              <w:jc w:val="center"/>
            </w:pPr>
            <w:r>
              <w:rPr>
                <w:b/>
                <w:bCs/>
                <w:color w:val="1F6E6B"/>
                <w:sz w:val="19"/>
                <w:szCs w:val="19"/>
              </w:rPr>
              <w:t xml:space="preserve">Seçilme gerekçesi</w:t>
            </w:r>
          </w:p>
        </w:tc>
      </w:tr>
      <w:tr>
        <w:tc>
          <w:tcPr>
            <w:tcW w:type="dxa" w:w="2600"/>
            <w:tcMar>
              <w:top w:type="dxa" w:w="70"/>
              <w:left w:type="dxa" w:w="110"/>
              <w:bottom w:type="dxa" w:w="70"/>
              <w:right w:type="dxa" w:w="110"/>
            </w:tcMar>
          </w:tcPr>
          <w:p>
            <w:pPr>
              <w:spacing w:after="20" w:before="20"/>
              <w:jc w:val="left"/>
            </w:pPr>
            <w:r>
              <w:rPr>
                <w:b w:val="false"/>
                <w:bCs w:val="false"/>
                <w:sz w:val="19"/>
                <w:szCs w:val="19"/>
              </w:rPr>
              <w:t xml:space="preserve">CatBoost</w:t>
            </w:r>
          </w:p>
        </w:tc>
        <w:tc>
          <w:tcPr>
            <w:tcW w:type="dxa" w:w="2600"/>
            <w:tcMar>
              <w:top w:type="dxa" w:w="70"/>
              <w:left w:type="dxa" w:w="110"/>
              <w:bottom w:type="dxa" w:w="70"/>
              <w:right w:type="dxa" w:w="110"/>
            </w:tcMar>
          </w:tcPr>
          <w:p>
            <w:pPr>
              <w:spacing w:after="20" w:before="20"/>
              <w:jc w:val="center"/>
            </w:pPr>
            <w:r>
              <w:rPr>
                <w:b w:val="false"/>
                <w:bCs w:val="false"/>
                <w:sz w:val="19"/>
                <w:szCs w:val="19"/>
              </w:rPr>
              <w:t xml:space="preserve">Ağaç tabanlı — ordered boosting</w:t>
            </w:r>
          </w:p>
        </w:tc>
        <w:tc>
          <w:tcPr>
            <w:tcW w:type="dxa" w:w="3800"/>
            <w:tcMar>
              <w:top w:type="dxa" w:w="70"/>
              <w:left w:type="dxa" w:w="110"/>
              <w:bottom w:type="dxa" w:w="70"/>
              <w:right w:type="dxa" w:w="110"/>
            </w:tcMar>
          </w:tcPr>
          <w:p>
            <w:pPr>
              <w:spacing w:after="20" w:before="20"/>
              <w:jc w:val="center"/>
            </w:pPr>
            <w:r>
              <w:rPr>
                <w:b w:val="false"/>
                <w:bCs w:val="false"/>
                <w:sz w:val="19"/>
                <w:szCs w:val="19"/>
              </w:rPr>
              <w:t xml:space="preserve">Ordered boosting yaklaşımı küçük veri setlerinde (~1200 satır) overfitting'e dirençlidir</w:t>
            </w:r>
          </w:p>
        </w:tc>
      </w:tr>
      <w:tr>
        <w:tc>
          <w:tcPr>
            <w:tcW w:type="dxa" w:w="2600"/>
            <w:tcMar>
              <w:top w:type="dxa" w:w="70"/>
              <w:left w:type="dxa" w:w="110"/>
              <w:bottom w:type="dxa" w:w="70"/>
              <w:right w:type="dxa" w:w="110"/>
            </w:tcMar>
          </w:tcPr>
          <w:p>
            <w:pPr>
              <w:spacing w:after="20" w:before="20"/>
              <w:jc w:val="left"/>
            </w:pPr>
            <w:r>
              <w:rPr>
                <w:b w:val="false"/>
                <w:bCs w:val="false"/>
                <w:sz w:val="19"/>
                <w:szCs w:val="19"/>
              </w:rPr>
              <w:t xml:space="preserve">Ridge Regression</w:t>
            </w:r>
          </w:p>
        </w:tc>
        <w:tc>
          <w:tcPr>
            <w:tcW w:type="dxa" w:w="2600"/>
            <w:tcMar>
              <w:top w:type="dxa" w:w="70"/>
              <w:left w:type="dxa" w:w="110"/>
              <w:bottom w:type="dxa" w:w="70"/>
              <w:right w:type="dxa" w:w="110"/>
            </w:tcMar>
          </w:tcPr>
          <w:p>
            <w:pPr>
              <w:spacing w:after="20" w:before="20"/>
              <w:jc w:val="center"/>
            </w:pPr>
            <w:r>
              <w:rPr>
                <w:b w:val="false"/>
                <w:bCs w:val="false"/>
                <w:sz w:val="19"/>
                <w:szCs w:val="19"/>
              </w:rPr>
              <w:t xml:space="preserve">Doğrusal</w:t>
            </w:r>
          </w:p>
        </w:tc>
        <w:tc>
          <w:tcPr>
            <w:tcW w:type="dxa" w:w="3800"/>
            <w:tcMar>
              <w:top w:type="dxa" w:w="70"/>
              <w:left w:type="dxa" w:w="110"/>
              <w:bottom w:type="dxa" w:w="70"/>
              <w:right w:type="dxa" w:w="110"/>
            </w:tcMar>
          </w:tcPr>
          <w:p>
            <w:pPr>
              <w:spacing w:after="20" w:before="20"/>
              <w:jc w:val="center"/>
            </w:pPr>
            <w:r>
              <w:rPr>
                <w:b w:val="false"/>
                <w:bCs w:val="false"/>
                <w:sz w:val="19"/>
                <w:szCs w:val="19"/>
              </w:rPr>
              <w:t xml:space="preserve">İlişkinin doğrusal olup olmadığını test etmeyi ve katsayılarla etki yönünü yorumlamayı sağlar</w:t>
            </w:r>
          </w:p>
        </w:tc>
      </w:tr>
    </w:tbl>
    <w:p>
      <w:pPr>
        <w:spacing w:after="120" w:before="140"/>
      </w:pPr>
      <w:r>
        <w:rPr>
          <w:b/>
          <w:bCs/>
          <w:sz w:val="20"/>
          <w:szCs w:val="20"/>
        </w:rPr>
        <w:t xml:space="preserve">Neden iki farklı aile?</w:t>
      </w:r>
    </w:p>
    <w:p>
      <w:pPr>
        <w:spacing w:after="120"/>
      </w:pPr>
      <w:r>
        <w:rPr>
          <w:sz w:val="20"/>
          <w:szCs w:val="20"/>
        </w:rPr>
        <w:t xml:space="preserve">Aynı aileden iki model seçilseydi sonuçlar birbirine çok yakın çıkar ve karşılaştırma bilgi vermezdi. Ridge farklı bir aileden geldiği için şu soruyu cevaplamamızı sağlamaktadır: iklim–göç ilişkisi doğrusal mıdır, yoksa eşik ve etkileşim etkileri mi içermektedir? Aşağıdaki sonuçlar bu sorunun cevabını vermektedir.</w:t>
      </w:r>
    </w:p>
    <w:p>
      <w:pPr>
        <w:pStyle w:val="Heading2"/>
        <w:spacing w:after="120" w:before="300"/>
      </w:pPr>
      <w:r>
        <w:rPr>
          <w:b/>
          <w:bCs/>
          <w:color w:val="1F6E6B"/>
          <w:sz w:val="24"/>
          <w:szCs w:val="24"/>
        </w:rPr>
        <w:t xml:space="preserve">2. Kurulum</w:t>
      </w:r>
    </w:p>
    <w:p>
      <w:pPr>
        <w:pStyle w:val="ListParagraph"/>
        <w:numPr>
          <w:ilvl w:val="0"/>
          <w:numId w:val="2"/>
        </w:numPr>
        <w:spacing w:after="90"/>
      </w:pPr>
      <w:r>
        <w:rPr>
          <w:b/>
          <w:bCs/>
          <w:sz w:val="20"/>
          <w:szCs w:val="20"/>
        </w:rPr>
        <w:t xml:space="preserve">Veri: </w:t>
      </w:r>
      <w:r>
        <w:rPr>
          <w:sz w:val="20"/>
          <w:szCs w:val="20"/>
        </w:rPr>
        <w:t xml:space="preserve">birlesik_tablo.xlsx — 1.190 satır, 48 ülke, 2001–2025</w:t>
      </w:r>
    </w:p>
    <w:p>
      <w:pPr>
        <w:pStyle w:val="ListParagraph"/>
        <w:numPr>
          <w:ilvl w:val="0"/>
          <w:numId w:val="2"/>
        </w:numPr>
        <w:spacing w:after="90"/>
      </w:pPr>
      <w:r>
        <w:rPr>
          <w:b/>
          <w:bCs/>
          <w:sz w:val="20"/>
          <w:szCs w:val="20"/>
        </w:rPr>
        <w:t xml:space="preserve">Hedef değişken: </w:t>
      </w:r>
      <w:r>
        <w:rPr>
          <w:sz w:val="20"/>
          <w:szCs w:val="20"/>
        </w:rPr>
        <w:t xml:space="preserve">log(1 + göç). Göç verisi aşırı çarpık olduğundan log dönüşümü uygulanmıştır.</w:t>
      </w:r>
    </w:p>
    <w:p>
      <w:pPr>
        <w:pStyle w:val="ListParagraph"/>
        <w:numPr>
          <w:ilvl w:val="0"/>
          <w:numId w:val="2"/>
        </w:numPr>
        <w:spacing w:after="90"/>
      </w:pPr>
      <w:r>
        <w:rPr>
          <w:b/>
          <w:bCs/>
          <w:sz w:val="20"/>
          <w:szCs w:val="20"/>
        </w:rPr>
        <w:t xml:space="preserve">Özellikler: </w:t>
      </w:r>
      <w:r>
        <w:rPr>
          <w:sz w:val="20"/>
          <w:szCs w:val="20"/>
        </w:rPr>
        <w:t xml:space="preserve">Sıcaklık, yağış, afet sayıları (kuraklık/sel/fırtına/aşırı sıcaklık), etkilenen kişi, ölüm, hasar — toplam 10 değişken</w:t>
      </w:r>
    </w:p>
    <w:p>
      <w:pPr>
        <w:pStyle w:val="ListParagraph"/>
        <w:numPr>
          <w:ilvl w:val="0"/>
          <w:numId w:val="2"/>
        </w:numPr>
        <w:spacing w:after="90"/>
      </w:pPr>
      <w:r>
        <w:rPr>
          <w:b/>
          <w:bCs/>
          <w:sz w:val="20"/>
          <w:szCs w:val="20"/>
        </w:rPr>
        <w:t xml:space="preserve">Train / Test: </w:t>
      </w:r>
      <w:r>
        <w:rPr>
          <w:sz w:val="20"/>
          <w:szCs w:val="20"/>
        </w:rPr>
        <w:t xml:space="preserve">Zamana göre bölünmüştür (eğitim 2001–2020, test 2021–2025). Rastgele bölme kullanılmamıştır; model geleceği görerek geçmişi tahmin ederse skor yapay olarak şişer.</w:t>
      </w:r>
    </w:p>
    <w:p>
      <w:pPr>
        <w:pStyle w:val="ListParagraph"/>
        <w:numPr>
          <w:ilvl w:val="0"/>
          <w:numId w:val="2"/>
        </w:numPr>
        <w:spacing w:after="90"/>
      </w:pPr>
      <w:r>
        <w:rPr>
          <w:b/>
          <w:bCs/>
          <w:sz w:val="20"/>
          <w:szCs w:val="20"/>
        </w:rPr>
        <w:t xml:space="preserve">Doğrulama: </w:t>
      </w:r>
      <w:r>
        <w:rPr>
          <w:sz w:val="20"/>
          <w:szCs w:val="20"/>
        </w:rPr>
        <w:t xml:space="preserve">TimeSeriesSplit ile 5 katlı çapraz doğrulama</w:t>
      </w:r>
    </w:p>
    <w:p>
      <w:pPr>
        <w:pStyle w:val="Heading2"/>
        <w:spacing w:after="120" w:before="300"/>
      </w:pPr>
      <w:r>
        <w:rPr>
          <w:b/>
          <w:bCs/>
          <w:color w:val="1F6E6B"/>
          <w:sz w:val="24"/>
          <w:szCs w:val="24"/>
        </w:rPr>
        <w:t xml:space="preserve">3. Sonuçlar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00"/>
      </w:tblGrid>
      <w:tr>
        <w:tc>
          <w:tcPr>
            <w:tcW w:type="dxa" w:w="2500"/>
            <w:shd w:fill="EFF5F4" w:val="clear"/>
            <w:tcMar>
              <w:top w:type="dxa" w:w="70"/>
              <w:left w:type="dxa" w:w="110"/>
              <w:bottom w:type="dxa" w:w="70"/>
              <w:right w:type="dxa" w:w="110"/>
            </w:tcMar>
          </w:tcPr>
          <w:p>
            <w:pPr>
              <w:spacing w:after="20" w:before="20"/>
              <w:jc w:val="left"/>
            </w:pPr>
            <w:r>
              <w:rPr>
                <w:b/>
                <w:bCs/>
                <w:color w:val="1F6E6B"/>
                <w:sz w:val="19"/>
                <w:szCs w:val="19"/>
              </w:rPr>
              <w:t xml:space="preserve">Model</w:t>
            </w:r>
          </w:p>
        </w:tc>
        <w:tc>
          <w:tcPr>
            <w:tcW w:type="dxa" w:w="1500"/>
            <w:shd w:fill="EFF5F4" w:val="clear"/>
            <w:tcMar>
              <w:top w:type="dxa" w:w="70"/>
              <w:left w:type="dxa" w:w="110"/>
              <w:bottom w:type="dxa" w:w="70"/>
              <w:right w:type="dxa" w:w="110"/>
            </w:tcMar>
          </w:tcPr>
          <w:p>
            <w:pPr>
              <w:spacing w:after="20" w:before="20"/>
              <w:jc w:val="center"/>
            </w:pPr>
            <w:r>
              <w:rPr>
                <w:b/>
                <w:bCs/>
                <w:color w:val="1F6E6B"/>
                <w:sz w:val="19"/>
                <w:szCs w:val="19"/>
              </w:rPr>
              <w:t xml:space="preserve">Test R²</w:t>
            </w:r>
          </w:p>
        </w:tc>
        <w:tc>
          <w:tcPr>
            <w:tcW w:type="dxa" w:w="1500"/>
            <w:shd w:fill="EFF5F4" w:val="clear"/>
            <w:tcMar>
              <w:top w:type="dxa" w:w="70"/>
              <w:left w:type="dxa" w:w="110"/>
              <w:bottom w:type="dxa" w:w="70"/>
              <w:right w:type="dxa" w:w="110"/>
            </w:tcMar>
          </w:tcPr>
          <w:p>
            <w:pPr>
              <w:spacing w:after="20" w:before="20"/>
              <w:jc w:val="center"/>
            </w:pPr>
            <w:r>
              <w:rPr>
                <w:b/>
                <w:bCs/>
                <w:color w:val="1F6E6B"/>
                <w:sz w:val="19"/>
                <w:szCs w:val="19"/>
              </w:rPr>
              <w:t xml:space="preserve">RMSE</w:t>
            </w:r>
          </w:p>
        </w:tc>
        <w:tc>
          <w:tcPr>
            <w:tcW w:type="dxa" w:w="1500"/>
            <w:shd w:fill="EFF5F4" w:val="clear"/>
            <w:tcMar>
              <w:top w:type="dxa" w:w="70"/>
              <w:left w:type="dxa" w:w="110"/>
              <w:bottom w:type="dxa" w:w="70"/>
              <w:right w:type="dxa" w:w="110"/>
            </w:tcMar>
          </w:tcPr>
          <w:p>
            <w:pPr>
              <w:spacing w:after="20" w:before="20"/>
              <w:jc w:val="center"/>
            </w:pPr>
            <w:r>
              <w:rPr>
                <w:b/>
                <w:bCs/>
                <w:color w:val="1F6E6B"/>
                <w:sz w:val="19"/>
                <w:szCs w:val="19"/>
              </w:rPr>
              <w:t xml:space="preserve">MAE</w:t>
            </w:r>
          </w:p>
        </w:tc>
        <w:tc>
          <w:tcPr>
            <w:tcW w:type="dxa" w:w="2000"/>
            <w:shd w:fill="EFF5F4" w:val="clear"/>
            <w:tcMar>
              <w:top w:type="dxa" w:w="70"/>
              <w:left w:type="dxa" w:w="110"/>
              <w:bottom w:type="dxa" w:w="70"/>
              <w:right w:type="dxa" w:w="110"/>
            </w:tcMar>
          </w:tcPr>
          <w:p>
            <w:pPr>
              <w:spacing w:after="20" w:before="20"/>
              <w:jc w:val="center"/>
            </w:pPr>
            <w:r>
              <w:rPr>
                <w:b/>
                <w:bCs/>
                <w:color w:val="1F6E6B"/>
                <w:sz w:val="19"/>
                <w:szCs w:val="19"/>
              </w:rPr>
              <w:t xml:space="preserve">Eğitim R²</w:t>
            </w:r>
          </w:p>
        </w:tc>
      </w:tr>
      <w:tr>
        <w:tc>
          <w:tcPr>
            <w:tcW w:type="dxa" w:w="2500"/>
            <w:shd w:fill="F4F9F8" w:val="clear"/>
            <w:tcMar>
              <w:top w:type="dxa" w:w="70"/>
              <w:left w:type="dxa" w:w="110"/>
              <w:bottom w:type="dxa" w:w="70"/>
              <w:right w:type="dxa" w:w="110"/>
            </w:tcMar>
          </w:tcPr>
          <w:p>
            <w:pPr>
              <w:spacing w:after="20" w:before="20"/>
              <w:jc w:val="left"/>
            </w:pPr>
            <w:r>
              <w:rPr>
                <w:b/>
                <w:bCs/>
                <w:sz w:val="19"/>
                <w:szCs w:val="19"/>
              </w:rPr>
              <w:t xml:space="preserve">CatBoost</w:t>
            </w:r>
          </w:p>
        </w:tc>
        <w:tc>
          <w:tcPr>
            <w:tcW w:type="dxa" w:w="1500"/>
            <w:shd w:fill="F4F9F8" w:val="clear"/>
            <w:tcMar>
              <w:top w:type="dxa" w:w="70"/>
              <w:left w:type="dxa" w:w="110"/>
              <w:bottom w:type="dxa" w:w="70"/>
              <w:right w:type="dxa" w:w="110"/>
            </w:tcMar>
          </w:tcPr>
          <w:p>
            <w:pPr>
              <w:spacing w:after="20" w:before="20"/>
              <w:jc w:val="center"/>
            </w:pPr>
            <w:r>
              <w:rPr>
                <w:b/>
                <w:bCs/>
                <w:sz w:val="19"/>
                <w:szCs w:val="19"/>
              </w:rPr>
              <w:t xml:space="preserve">0.560</w:t>
            </w:r>
          </w:p>
        </w:tc>
        <w:tc>
          <w:tcPr>
            <w:tcW w:type="dxa" w:w="1500"/>
            <w:shd w:fill="F4F9F8" w:val="clear"/>
            <w:tcMar>
              <w:top w:type="dxa" w:w="70"/>
              <w:left w:type="dxa" w:w="110"/>
              <w:bottom w:type="dxa" w:w="70"/>
              <w:right w:type="dxa" w:w="110"/>
            </w:tcMar>
          </w:tcPr>
          <w:p>
            <w:pPr>
              <w:spacing w:after="20" w:before="20"/>
              <w:jc w:val="center"/>
            </w:pPr>
            <w:r>
              <w:rPr>
                <w:b/>
                <w:bCs/>
                <w:sz w:val="19"/>
                <w:szCs w:val="19"/>
              </w:rPr>
              <w:t xml:space="preserve">1.912</w:t>
            </w:r>
          </w:p>
        </w:tc>
        <w:tc>
          <w:tcPr>
            <w:tcW w:type="dxa" w:w="1500"/>
            <w:shd w:fill="F4F9F8" w:val="clear"/>
            <w:tcMar>
              <w:top w:type="dxa" w:w="70"/>
              <w:left w:type="dxa" w:w="110"/>
              <w:bottom w:type="dxa" w:w="70"/>
              <w:right w:type="dxa" w:w="110"/>
            </w:tcMar>
          </w:tcPr>
          <w:p>
            <w:pPr>
              <w:spacing w:after="20" w:before="20"/>
              <w:jc w:val="center"/>
            </w:pPr>
            <w:r>
              <w:rPr>
                <w:b/>
                <w:bCs/>
                <w:sz w:val="19"/>
                <w:szCs w:val="19"/>
              </w:rPr>
              <w:t xml:space="preserve">1.500</w:t>
            </w:r>
          </w:p>
        </w:tc>
        <w:tc>
          <w:tcPr>
            <w:tcW w:type="dxa" w:w="2000"/>
            <w:shd w:fill="F4F9F8" w:val="clear"/>
            <w:tcMar>
              <w:top w:type="dxa" w:w="70"/>
              <w:left w:type="dxa" w:w="110"/>
              <w:bottom w:type="dxa" w:w="70"/>
              <w:right w:type="dxa" w:w="110"/>
            </w:tcMar>
          </w:tcPr>
          <w:p>
            <w:pPr>
              <w:spacing w:after="20" w:before="20"/>
              <w:jc w:val="center"/>
            </w:pPr>
            <w:r>
              <w:rPr>
                <w:b/>
                <w:bCs/>
                <w:sz w:val="19"/>
                <w:szCs w:val="19"/>
              </w:rPr>
              <w:t xml:space="preserve">0.778</w:t>
            </w:r>
          </w:p>
        </w:tc>
      </w:tr>
      <w:tr>
        <w:tc>
          <w:tcPr>
            <w:tcW w:type="dxa" w:w="2500"/>
            <w:tcMar>
              <w:top w:type="dxa" w:w="70"/>
              <w:left w:type="dxa" w:w="110"/>
              <w:bottom w:type="dxa" w:w="70"/>
              <w:right w:type="dxa" w:w="110"/>
            </w:tcMar>
          </w:tcPr>
          <w:p>
            <w:pPr>
              <w:spacing w:after="20" w:before="20"/>
              <w:jc w:val="left"/>
            </w:pPr>
            <w:r>
              <w:rPr>
                <w:b w:val="false"/>
                <w:bCs w:val="false"/>
                <w:sz w:val="19"/>
                <w:szCs w:val="19"/>
              </w:rPr>
              <w:t xml:space="preserve">Ridge</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0.179</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2.612</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2.012</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0.177</w:t>
            </w:r>
          </w:p>
        </w:tc>
      </w:tr>
      <w:tr>
        <w:tc>
          <w:tcPr>
            <w:tcW w:type="dxa" w:w="2500"/>
            <w:tcMar>
              <w:top w:type="dxa" w:w="70"/>
              <w:left w:type="dxa" w:w="110"/>
              <w:bottom w:type="dxa" w:w="70"/>
              <w:right w:type="dxa" w:w="110"/>
            </w:tcMar>
          </w:tcPr>
          <w:p>
            <w:pPr>
              <w:spacing w:after="20" w:before="20"/>
              <w:jc w:val="left"/>
            </w:pPr>
            <w:r>
              <w:rPr>
                <w:b w:val="false"/>
                <w:bCs w:val="false"/>
                <w:sz w:val="19"/>
                <w:szCs w:val="19"/>
              </w:rPr>
              <w:t xml:space="preserve">Baseline (ortalama)</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−0.108</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3.035</w:t>
            </w:r>
          </w:p>
        </w:tc>
        <w:tc>
          <w:tcPr>
            <w:tcW w:type="dxa" w:w="1500"/>
            <w:tcMar>
              <w:top w:type="dxa" w:w="70"/>
              <w:left w:type="dxa" w:w="110"/>
              <w:bottom w:type="dxa" w:w="70"/>
              <w:right w:type="dxa" w:w="110"/>
            </w:tcMar>
          </w:tcPr>
          <w:p>
            <w:pPr>
              <w:spacing w:after="20" w:before="20"/>
              <w:jc w:val="center"/>
            </w:pPr>
            <w:r>
              <w:rPr>
                <w:b w:val="false"/>
                <w:bCs w:val="false"/>
                <w:sz w:val="19"/>
                <w:szCs w:val="19"/>
              </w:rPr>
              <w:t xml:space="preserve">2.489</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w:t>
            </w:r>
          </w:p>
        </w:tc>
      </w:tr>
    </w:tbl>
    <w:p>
      <w:pPr>
        <w:spacing w:after="120"/>
      </w:pPr>
      <w:r>
        <w:rPr>
          <w:sz w:val="20"/>
          <w:szCs w:val="20"/>
        </w:rPr>
        <w:t xml:space="preserve"/>
      </w:r>
    </w:p>
    <w:p>
      <w:pPr>
        <w:spacing w:after="120"/>
      </w:pPr>
      <w:r>
        <w:rPr>
          <w:sz w:val="20"/>
          <w:szCs w:val="20"/>
        </w:rPr>
        <w:t xml:space="preserve">Her iki model de baseline'ı geçmektedir; yani iklim ve afet verileri göç hakkında anlamlı bilgi taşımaktadır. CatBoost belirgin şekilde daha iyi performans göstermektedir.</w:t>
      </w:r>
    </w:p>
    <w:p>
      <w:pPr>
        <w:spacing w:after="120" w:before="180"/>
      </w:pPr>
      <w:r>
        <w:rPr>
          <w:b/>
          <w:bCs/>
          <w:sz w:val="20"/>
          <w:szCs w:val="20"/>
        </w:rPr>
        <w:t xml:space="preserve">Çapraz doğrulama (5 kat)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EFF5F4" w:val="clear"/>
            <w:tcMar>
              <w:top w:type="dxa" w:w="70"/>
              <w:left w:type="dxa" w:w="110"/>
              <w:bottom w:type="dxa" w:w="70"/>
              <w:right w:type="dxa" w:w="110"/>
            </w:tcMar>
          </w:tcPr>
          <w:p>
            <w:pPr>
              <w:spacing w:after="20" w:before="20"/>
              <w:jc w:val="left"/>
            </w:pPr>
            <w:r>
              <w:rPr>
                <w:b/>
                <w:bCs/>
                <w:color w:val="1F6E6B"/>
                <w:sz w:val="19"/>
                <w:szCs w:val="19"/>
              </w:rPr>
              <w:t xml:space="preserve">Model</w:t>
            </w:r>
          </w:p>
        </w:tc>
        <w:tc>
          <w:tcPr>
            <w:tcW w:type="dxa" w:w="2500"/>
            <w:shd w:fill="EFF5F4" w:val="clear"/>
            <w:tcMar>
              <w:top w:type="dxa" w:w="70"/>
              <w:left w:type="dxa" w:w="110"/>
              <w:bottom w:type="dxa" w:w="70"/>
              <w:right w:type="dxa" w:w="110"/>
            </w:tcMar>
          </w:tcPr>
          <w:p>
            <w:pPr>
              <w:spacing w:after="20" w:before="20"/>
              <w:jc w:val="center"/>
            </w:pPr>
            <w:r>
              <w:rPr>
                <w:b/>
                <w:bCs/>
                <w:color w:val="1F6E6B"/>
                <w:sz w:val="19"/>
                <w:szCs w:val="19"/>
              </w:rPr>
              <w:t xml:space="preserve">Ortalama R²</w:t>
            </w:r>
          </w:p>
        </w:tc>
        <w:tc>
          <w:tcPr>
            <w:tcW w:type="dxa" w:w="2500"/>
            <w:shd w:fill="EFF5F4" w:val="clear"/>
            <w:tcMar>
              <w:top w:type="dxa" w:w="70"/>
              <w:left w:type="dxa" w:w="110"/>
              <w:bottom w:type="dxa" w:w="70"/>
              <w:right w:type="dxa" w:w="110"/>
            </w:tcMar>
          </w:tcPr>
          <w:p>
            <w:pPr>
              <w:spacing w:after="20" w:before="20"/>
              <w:jc w:val="center"/>
            </w:pPr>
            <w:r>
              <w:rPr>
                <w:b/>
                <w:bCs/>
                <w:color w:val="1F6E6B"/>
                <w:sz w:val="19"/>
                <w:szCs w:val="19"/>
              </w:rPr>
              <w:t xml:space="preserve">Standart sapma</w:t>
            </w:r>
          </w:p>
        </w:tc>
        <w:tc>
          <w:tcPr>
            <w:tcW w:type="dxa" w:w="2500"/>
            <w:shd w:fill="EFF5F4" w:val="clear"/>
            <w:tcMar>
              <w:top w:type="dxa" w:w="70"/>
              <w:left w:type="dxa" w:w="110"/>
              <w:bottom w:type="dxa" w:w="70"/>
              <w:right w:type="dxa" w:w="110"/>
            </w:tcMar>
          </w:tcPr>
          <w:p>
            <w:pPr>
              <w:spacing w:after="20" w:before="20"/>
              <w:jc w:val="center"/>
            </w:pPr>
            <w:r>
              <w:rPr>
                <w:b/>
                <w:bCs/>
                <w:color w:val="1F6E6B"/>
                <w:sz w:val="19"/>
                <w:szCs w:val="19"/>
              </w:rPr>
              <w:t xml:space="preserve">Yorum</w:t>
            </w:r>
          </w:p>
        </w:tc>
      </w:tr>
      <w:tr>
        <w:tc>
          <w:tcPr>
            <w:tcW w:type="dxa" w:w="2500"/>
            <w:shd w:fill="F4F9F8" w:val="clear"/>
            <w:tcMar>
              <w:top w:type="dxa" w:w="70"/>
              <w:left w:type="dxa" w:w="110"/>
              <w:bottom w:type="dxa" w:w="70"/>
              <w:right w:type="dxa" w:w="110"/>
            </w:tcMar>
          </w:tcPr>
          <w:p>
            <w:pPr>
              <w:spacing w:after="20" w:before="20"/>
              <w:jc w:val="left"/>
            </w:pPr>
            <w:r>
              <w:rPr>
                <w:b/>
                <w:bCs/>
                <w:sz w:val="19"/>
                <w:szCs w:val="19"/>
              </w:rPr>
              <w:t xml:space="preserve">CatBoost</w:t>
            </w:r>
          </w:p>
        </w:tc>
        <w:tc>
          <w:tcPr>
            <w:tcW w:type="dxa" w:w="2500"/>
            <w:shd w:fill="F4F9F8" w:val="clear"/>
            <w:tcMar>
              <w:top w:type="dxa" w:w="70"/>
              <w:left w:type="dxa" w:w="110"/>
              <w:bottom w:type="dxa" w:w="70"/>
              <w:right w:type="dxa" w:w="110"/>
            </w:tcMar>
          </w:tcPr>
          <w:p>
            <w:pPr>
              <w:spacing w:after="20" w:before="20"/>
              <w:jc w:val="center"/>
            </w:pPr>
            <w:r>
              <w:rPr>
                <w:b/>
                <w:bCs/>
                <w:sz w:val="19"/>
                <w:szCs w:val="19"/>
              </w:rPr>
              <w:t xml:space="preserve">+0.545</w:t>
            </w:r>
          </w:p>
        </w:tc>
        <w:tc>
          <w:tcPr>
            <w:tcW w:type="dxa" w:w="2500"/>
            <w:shd w:fill="F4F9F8" w:val="clear"/>
            <w:tcMar>
              <w:top w:type="dxa" w:w="70"/>
              <w:left w:type="dxa" w:w="110"/>
              <w:bottom w:type="dxa" w:w="70"/>
              <w:right w:type="dxa" w:w="110"/>
            </w:tcMar>
          </w:tcPr>
          <w:p>
            <w:pPr>
              <w:spacing w:after="20" w:before="20"/>
              <w:jc w:val="center"/>
            </w:pPr>
            <w:r>
              <w:rPr>
                <w:b/>
                <w:bCs/>
                <w:sz w:val="19"/>
                <w:szCs w:val="19"/>
              </w:rPr>
              <w:t xml:space="preserve">0.062</w:t>
            </w:r>
          </w:p>
        </w:tc>
        <w:tc>
          <w:tcPr>
            <w:tcW w:type="dxa" w:w="2500"/>
            <w:shd w:fill="F4F9F8" w:val="clear"/>
            <w:tcMar>
              <w:top w:type="dxa" w:w="70"/>
              <w:left w:type="dxa" w:w="110"/>
              <w:bottom w:type="dxa" w:w="70"/>
              <w:right w:type="dxa" w:w="110"/>
            </w:tcMar>
          </w:tcPr>
          <w:p>
            <w:pPr>
              <w:spacing w:after="20" w:before="20"/>
              <w:jc w:val="center"/>
            </w:pPr>
            <w:r>
              <w:rPr>
                <w:b/>
                <w:bCs/>
                <w:sz w:val="19"/>
                <w:szCs w:val="19"/>
              </w:rPr>
              <w:t xml:space="preserve">Kararlı</w:t>
            </w:r>
          </w:p>
        </w:tc>
      </w:tr>
      <w:tr>
        <w:tc>
          <w:tcPr>
            <w:tcW w:type="dxa" w:w="2500"/>
            <w:tcMar>
              <w:top w:type="dxa" w:w="70"/>
              <w:left w:type="dxa" w:w="110"/>
              <w:bottom w:type="dxa" w:w="70"/>
              <w:right w:type="dxa" w:w="110"/>
            </w:tcMar>
          </w:tcPr>
          <w:p>
            <w:pPr>
              <w:spacing w:after="20" w:before="20"/>
              <w:jc w:val="left"/>
            </w:pPr>
            <w:r>
              <w:rPr>
                <w:b w:val="false"/>
                <w:bCs w:val="false"/>
                <w:sz w:val="19"/>
                <w:szCs w:val="19"/>
              </w:rPr>
              <w:t xml:space="preserve">Ridge</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−0.055</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0.397</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Kararsız</w:t>
            </w:r>
          </w:p>
        </w:tc>
      </w:tr>
    </w:tbl>
    <w:p>
      <w:pPr>
        <w:spacing w:after="120"/>
      </w:pPr>
      <w:r>
        <w:rPr>
          <w:sz w:val="20"/>
          <w:szCs w:val="20"/>
        </w:rPr>
        <w:t xml:space="preserve"/>
      </w:r>
    </w:p>
    <w:p>
      <w:pPr>
        <w:spacing w:after="120"/>
      </w:pPr>
      <w:r>
        <w:rPr>
          <w:sz w:val="20"/>
          <w:szCs w:val="20"/>
        </w:rPr>
        <w:t xml:space="preserve">Tek bir train/test ayrımında Ridge 0.179 vermektedir ancak çapraz doğrulamada ortalaması negatife düşmekte ve katlar arasında büyük dalgalanma göstermektedir. Bu, Ridge'in performansının hangi dönemin test edildiğine güçlü şekilde bağlı olduğunu, yani güvenilir olmadığını göstermektedir.</w:t>
      </w:r>
    </w:p>
    <w:p>
      <w:pPr>
        <w:pStyle w:val="Heading2"/>
        <w:spacing w:after="120" w:before="300"/>
      </w:pPr>
      <w:r>
        <w:rPr>
          <w:b/>
          <w:bCs/>
          <w:color w:val="1F6E6B"/>
          <w:sz w:val="24"/>
          <w:szCs w:val="24"/>
        </w:rPr>
        <w:t xml:space="preserve">4. Hangi Model Daha İyi?</w:t>
      </w:r>
    </w:p>
    <w:p>
      <w:pPr>
        <w:spacing w:after="120"/>
      </w:pPr>
      <w:r>
        <w:rPr>
          <w:sz w:val="20"/>
          <w:szCs w:val="20"/>
        </w:rPr>
        <w:t xml:space="preserve">CatBoost açık farkla daha iyidir. Üç ölçütte de üstündür:</w:t>
      </w:r>
    </w:p>
    <w:p>
      <w:pPr>
        <w:pStyle w:val="ListParagraph"/>
        <w:numPr>
          <w:ilvl w:val="0"/>
          <w:numId w:val="2"/>
        </w:numPr>
        <w:spacing w:after="90"/>
      </w:pPr>
      <w:r>
        <w:rPr>
          <w:b/>
          <w:bCs/>
          <w:sz w:val="20"/>
          <w:szCs w:val="20"/>
        </w:rPr>
        <w:t xml:space="preserve">Performans: </w:t>
      </w:r>
      <w:r>
        <w:rPr>
          <w:sz w:val="20"/>
          <w:szCs w:val="20"/>
        </w:rPr>
        <w:t xml:space="preserve">R² 0.560 — Ridge'in (0.179) yaklaşık üç katı</w:t>
      </w:r>
    </w:p>
    <w:p>
      <w:pPr>
        <w:pStyle w:val="ListParagraph"/>
        <w:numPr>
          <w:ilvl w:val="0"/>
          <w:numId w:val="2"/>
        </w:numPr>
        <w:spacing w:after="90"/>
      </w:pPr>
      <w:r>
        <w:rPr>
          <w:b/>
          <w:bCs/>
          <w:sz w:val="20"/>
          <w:szCs w:val="20"/>
        </w:rPr>
        <w:t xml:space="preserve">Kararlılık: </w:t>
      </w:r>
      <w:r>
        <w:rPr>
          <w:sz w:val="20"/>
          <w:szCs w:val="20"/>
        </w:rPr>
        <w:t xml:space="preserve">Çapraz doğrulamada beş katın hepsi pozitif ve dar aralıkta (±0.062); Ridge'de bir kat −0.837'ye kadar düşmektedir</w:t>
      </w:r>
    </w:p>
    <w:p>
      <w:pPr>
        <w:pStyle w:val="ListParagraph"/>
        <w:numPr>
          <w:ilvl w:val="0"/>
          <w:numId w:val="2"/>
        </w:numPr>
        <w:spacing w:after="90"/>
      </w:pPr>
      <w:r>
        <w:rPr>
          <w:b/>
          <w:bCs/>
          <w:sz w:val="20"/>
          <w:szCs w:val="20"/>
        </w:rPr>
        <w:t xml:space="preserve">Hata büyüklüğü: </w:t>
      </w:r>
      <w:r>
        <w:rPr>
          <w:sz w:val="20"/>
          <w:szCs w:val="20"/>
        </w:rPr>
        <w:t xml:space="preserve">MAE 1.500 (Ridge 2.012), RMSE 1.912 (Ridge 2.612)</w:t>
      </w:r>
    </w:p>
    <w:p>
      <w:pPr>
        <w:spacing w:after="120"/>
      </w:pPr>
      <w:r>
        <w:rPr>
          <w:sz w:val="20"/>
          <w:szCs w:val="20"/>
        </w:rPr>
        <w:t xml:space="preserve"/>
      </w:r>
    </w:p>
    <w:p>
      <w:pPr>
        <w:spacing w:after="120"/>
      </w:pPr>
      <w:r>
        <w:rPr>
          <w:sz w:val="20"/>
          <w:szCs w:val="20"/>
        </w:rPr>
        <w:t xml:space="preserve">Ridge'in eğitim ve test skorları neredeyse aynıdır (0.177 / 0.179). Bu, modelin ezberlemediğini gösterir — ancak öğrenemediğini de gösterir. Doğrusal yapısı gereği kapasitesi sınırlıdır ve veri ondan daha karmaşıktır (underfitting).</w:t>
      </w:r>
    </w:p>
    <w:p>
      <w:pPr>
        <w:spacing w:after="120"/>
      </w:pPr>
      <w:r>
        <w:rPr>
          <w:sz w:val="20"/>
          <w:szCs w:val="20"/>
        </w:rPr>
        <w:t xml:space="preserve">CatBoost'ta eğitim–test farkı 0.218'dir. Bir miktar ezber vardır ancak bu boyuttaki bir veri setinde kabul edilebilir düzeydedir.</w:t>
      </w:r>
    </w:p>
    <w:p>
      <w:pPr>
        <w:pStyle w:val="Heading2"/>
        <w:spacing w:after="120" w:before="300"/>
      </w:pPr>
      <w:r>
        <w:rPr>
          <w:b/>
          <w:bCs/>
          <w:color w:val="1F6E6B"/>
          <w:sz w:val="24"/>
          <w:szCs w:val="24"/>
        </w:rPr>
        <w:t xml:space="preserve">5. Karşılaştırmanın Asıl Kazanımı: İlişki Doğrusal Değil</w:t>
      </w:r>
    </w:p>
    <w:p>
      <w:pPr>
        <w:spacing w:after="120"/>
      </w:pPr>
      <w:r>
        <w:rPr>
          <w:sz w:val="20"/>
          <w:szCs w:val="20"/>
        </w:rPr>
        <w:t xml:space="preserve">Bu iki modelin birlikte kullanılmasının en önemli çıktısı aradaki performans farkının kendisidir.</w:t>
      </w:r>
    </w:p>
    <w:p>
      <w:pPr>
        <w:spacing w:after="120"/>
      </w:pPr>
      <w:r>
        <w:rPr>
          <w:sz w:val="20"/>
          <w:szCs w:val="20"/>
        </w:rPr>
        <w:t xml:space="preserve">Eğer iklim–göç ilişkisi doğrusal olsaydı — örneğin "sıcaklık her 1 derece arttığında göç sabit bir miktar artar" biçiminde — Ridge de CatBoost'a yakın sonuç verirdi, çünkü Ridge tam olarak bu tür ilişkileri modellemektedir. Vermemiştir.</w:t>
      </w:r>
    </w:p>
    <w:p>
      <w:pPr>
        <w:spacing w:after="120"/>
      </w:pPr>
      <w:r>
        <w:rPr>
          <w:sz w:val="20"/>
          <w:szCs w:val="20"/>
        </w:rPr>
        <w:t xml:space="preserve">Aradaki üç katlık fark, ilişkinin eşik değerleri ve değişkenler arası etkileşimler içerdiğini göstermektedir. Örneğin belirli bir afet sayısına kadar etki görülmezken o eşik aşıldığında göç hızla artıyor olabilir; ya da sıcaklık tek başına etkisizken kuraklıkla birlikte belirleyici hale geliyor olabilir. Ağaç tabanlı modeller bu tür yapıları yakalayabilmekte, doğrusal modeller yakalayamamaktadır.</w:t>
      </w:r>
    </w:p>
    <w:p>
      <w:pPr>
        <w:spacing w:after="120"/>
      </w:pPr>
      <w:r>
        <w:rPr>
          <w:b/>
          <w:bCs/>
          <w:sz w:val="20"/>
          <w:szCs w:val="20"/>
        </w:rPr>
        <w:t xml:space="preserve">Bu bulgu, yalnızca aynı aileden modeller denenmiş olsaydı elde edilemezdi.</w:t>
      </w:r>
    </w:p>
    <w:p>
      <w:pPr>
        <w:pStyle w:val="Heading2"/>
        <w:spacing w:after="120" w:before="300"/>
      </w:pPr>
      <w:r>
        <w:rPr>
          <w:b/>
          <w:bCs/>
          <w:color w:val="1F6E6B"/>
          <w:sz w:val="24"/>
          <w:szCs w:val="24"/>
        </w:rPr>
        <w:t xml:space="preserve">6. Yorumlanabilirlik: İki Model İki Farklı Bilgi Veriyor</w:t>
      </w:r>
    </w:p>
    <w:p>
      <w:pPr>
        <w:spacing w:after="120"/>
      </w:pPr>
      <w:r>
        <w:rPr>
          <w:sz w:val="20"/>
          <w:szCs w:val="20"/>
        </w:rPr>
        <w:t xml:space="preserve">CatBoost hangi değişkenin önemli olduğunu söyler ancak etkinin yönünü söylemez. Ridge katsayıları hem yönü hem büyüklüğü verir. İkisi birlikte kullanıldığında daha zengin bir yorum mümkün olmaktadır.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00"/>
      </w:tblGrid>
      <w:tr>
        <w:tc>
          <w:tcPr>
            <w:tcW w:type="dxa" w:w="3000"/>
            <w:shd w:fill="EFF5F4" w:val="clear"/>
            <w:tcMar>
              <w:top w:type="dxa" w:w="70"/>
              <w:left w:type="dxa" w:w="110"/>
              <w:bottom w:type="dxa" w:w="70"/>
              <w:right w:type="dxa" w:w="110"/>
            </w:tcMar>
          </w:tcPr>
          <w:p>
            <w:pPr>
              <w:spacing w:after="20" w:before="20"/>
              <w:jc w:val="left"/>
            </w:pPr>
            <w:r>
              <w:rPr>
                <w:b/>
                <w:bCs/>
                <w:color w:val="1F6E6B"/>
                <w:sz w:val="19"/>
                <w:szCs w:val="19"/>
              </w:rPr>
              <w:t xml:space="preserve">Değişken</w:t>
            </w:r>
          </w:p>
        </w:tc>
        <w:tc>
          <w:tcPr>
            <w:tcW w:type="dxa" w:w="2500"/>
            <w:shd w:fill="EFF5F4" w:val="clear"/>
            <w:tcMar>
              <w:top w:type="dxa" w:w="70"/>
              <w:left w:type="dxa" w:w="110"/>
              <w:bottom w:type="dxa" w:w="70"/>
              <w:right w:type="dxa" w:w="110"/>
            </w:tcMar>
          </w:tcPr>
          <w:p>
            <w:pPr>
              <w:spacing w:after="20" w:before="20"/>
              <w:jc w:val="center"/>
            </w:pPr>
            <w:r>
              <w:rPr>
                <w:b/>
                <w:bCs/>
                <w:color w:val="1F6E6B"/>
                <w:sz w:val="19"/>
                <w:szCs w:val="19"/>
              </w:rPr>
              <w:t xml:space="preserve">CatBoost önem</w:t>
            </w:r>
          </w:p>
        </w:tc>
        <w:tc>
          <w:tcPr>
            <w:tcW w:type="dxa" w:w="2500"/>
            <w:shd w:fill="EFF5F4" w:val="clear"/>
            <w:tcMar>
              <w:top w:type="dxa" w:w="70"/>
              <w:left w:type="dxa" w:w="110"/>
              <w:bottom w:type="dxa" w:w="70"/>
              <w:right w:type="dxa" w:w="110"/>
            </w:tcMar>
          </w:tcPr>
          <w:p>
            <w:pPr>
              <w:spacing w:after="20" w:before="20"/>
              <w:jc w:val="center"/>
            </w:pPr>
            <w:r>
              <w:rPr>
                <w:b/>
                <w:bCs/>
                <w:color w:val="1F6E6B"/>
                <w:sz w:val="19"/>
                <w:szCs w:val="19"/>
              </w:rPr>
              <w:t xml:space="preserve">Ridge katsayı</w:t>
            </w:r>
          </w:p>
        </w:tc>
        <w:tc>
          <w:tcPr>
            <w:tcW w:type="dxa" w:w="2000"/>
            <w:shd w:fill="EFF5F4" w:val="clear"/>
            <w:tcMar>
              <w:top w:type="dxa" w:w="70"/>
              <w:left w:type="dxa" w:w="110"/>
              <w:bottom w:type="dxa" w:w="70"/>
              <w:right w:type="dxa" w:w="110"/>
            </w:tcMar>
          </w:tcPr>
          <w:p>
            <w:pPr>
              <w:spacing w:after="20" w:before="20"/>
              <w:jc w:val="center"/>
            </w:pPr>
            <w:r>
              <w:rPr>
                <w:b/>
                <w:bCs/>
                <w:color w:val="1F6E6B"/>
                <w:sz w:val="19"/>
                <w:szCs w:val="19"/>
              </w:rPr>
              <w:t xml:space="preserve">Etki yönü</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Avg_Temp (sıcaklık)</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0.463</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+0.762</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Artırıyor</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Avg_Precip (yağış)</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0.379</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−0.196</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Azaltıyor</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Sel_Sayisi</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0.088</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+0.575</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Artırıyor</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Toplam_Olum</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0.027</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+0.092</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Artırıyor</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Toplam_Etkilenen</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0.022</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+0.193</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Artırıyor</w:t>
            </w:r>
          </w:p>
        </w:tc>
      </w:tr>
      <w:tr>
        <w:tc>
          <w:tcPr>
            <w:tcW w:type="dxa" w:w="3000"/>
            <w:tcMar>
              <w:top w:type="dxa" w:w="70"/>
              <w:left w:type="dxa" w:w="110"/>
              <w:bottom w:type="dxa" w:w="70"/>
              <w:right w:type="dxa" w:w="110"/>
            </w:tcMar>
          </w:tcPr>
          <w:p>
            <w:pPr>
              <w:spacing w:after="20" w:before="20"/>
              <w:jc w:val="left"/>
            </w:pPr>
            <w:r>
              <w:rPr>
                <w:b w:val="false"/>
                <w:bCs w:val="false"/>
                <w:sz w:val="19"/>
                <w:szCs w:val="19"/>
              </w:rPr>
              <w:t xml:space="preserve">Kuraklik_Sayisi</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0.003</w:t>
            </w:r>
          </w:p>
        </w:tc>
        <w:tc>
          <w:tcPr>
            <w:tcW w:type="dxa" w:w="2500"/>
            <w:tcMar>
              <w:top w:type="dxa" w:w="70"/>
              <w:left w:type="dxa" w:w="110"/>
              <w:bottom w:type="dxa" w:w="70"/>
              <w:right w:type="dxa" w:w="110"/>
            </w:tcMar>
          </w:tcPr>
          <w:p>
            <w:pPr>
              <w:spacing w:after="20" w:before="20"/>
              <w:jc w:val="center"/>
            </w:pPr>
            <w:r>
              <w:rPr>
                <w:b w:val="false"/>
                <w:bCs w:val="false"/>
                <w:sz w:val="19"/>
                <w:szCs w:val="19"/>
              </w:rPr>
              <w:t xml:space="preserve">−0.259</w:t>
            </w:r>
          </w:p>
        </w:tc>
        <w:tc>
          <w:tcPr>
            <w:tcW w:type="dxa" w:w="2000"/>
            <w:tcMar>
              <w:top w:type="dxa" w:w="70"/>
              <w:left w:type="dxa" w:w="110"/>
              <w:bottom w:type="dxa" w:w="70"/>
              <w:right w:type="dxa" w:w="110"/>
            </w:tcMar>
          </w:tcPr>
          <w:p>
            <w:pPr>
              <w:spacing w:after="20" w:before="20"/>
              <w:jc w:val="center"/>
            </w:pPr>
            <w:r>
              <w:rPr>
                <w:b w:val="false"/>
                <w:bCs w:val="false"/>
                <w:sz w:val="19"/>
                <w:szCs w:val="19"/>
              </w:rPr>
              <w:t xml:space="preserve">Azaltıyor</w:t>
            </w:r>
          </w:p>
        </w:tc>
      </w:tr>
    </w:tbl>
    <w:p>
      <w:pPr>
        <w:spacing w:after="120"/>
      </w:pPr>
      <w:r>
        <w:rPr>
          <w:sz w:val="20"/>
          <w:szCs w:val="20"/>
        </w:rPr>
        <w:t xml:space="preserve"/>
      </w:r>
    </w:p>
    <w:p>
      <w:pPr>
        <w:spacing w:after="120"/>
      </w:pPr>
      <w:r>
        <w:rPr>
          <w:b/>
          <w:bCs/>
          <w:sz w:val="20"/>
          <w:szCs w:val="20"/>
        </w:rPr>
        <w:t xml:space="preserve">Dikkat çeken bulgu: </w:t>
      </w:r>
      <w:r>
        <w:rPr>
          <w:sz w:val="20"/>
          <w:szCs w:val="20"/>
        </w:rPr>
        <w:t xml:space="preserve">Sel göçü güçlü şekilde artırırken (+0.575) kuraklık azaltıyor görünmektedir (−0.259). Bu, literatürde "trapped populations" olarak bilinen olguyla açıklanabilir: kuraklık uzun sürede yoksullaştırır ve göç etmek maddi kaynak gerektirdiğinden insanlar yerinde sıkışıp kalır. Sel ise ani bir şoktur, evi zarar gören hemen hareket eder.</w:t>
      </w:r>
    </w:p>
    <w:p>
      <w:pPr>
        <w:pStyle w:val="Heading2"/>
        <w:spacing w:after="120" w:before="300"/>
      </w:pPr>
      <w:r>
        <w:rPr>
          <w:b/>
          <w:bCs/>
          <w:color w:val="1F6E6B"/>
          <w:sz w:val="24"/>
          <w:szCs w:val="24"/>
        </w:rPr>
        <w:t xml:space="preserve">7. Sınırlılıklar</w:t>
      </w:r>
    </w:p>
    <w:p>
      <w:pPr>
        <w:pStyle w:val="ListParagraph"/>
        <w:numPr>
          <w:ilvl w:val="0"/>
          <w:numId w:val="2"/>
        </w:numPr>
        <w:spacing w:after="90"/>
      </w:pPr>
      <w:r>
        <w:rPr>
          <w:sz w:val="20"/>
          <w:szCs w:val="20"/>
        </w:rPr>
        <w:t xml:space="preserve">Model kararlarının %84'ü sıcaklık ve yağış değişkenlerine dayanmaktadır. Ancak bu değişkenler ülkelerin coğrafi konumuyla güçlü ilişkilidir; gözlenen etki doğrudan iklim etkisinden ziyade yapısal/coğrafi farklılıkları yansıtıyor olabilir.</w:t>
      </w:r>
    </w:p>
    <w:p>
      <w:pPr>
        <w:pStyle w:val="ListParagraph"/>
        <w:numPr>
          <w:ilvl w:val="0"/>
          <w:numId w:val="2"/>
        </w:numPr>
        <w:spacing w:after="90"/>
      </w:pPr>
      <w:r>
        <w:rPr>
          <w:sz w:val="20"/>
          <w:szCs w:val="20"/>
        </w:rPr>
        <w:t xml:space="preserve">Hiperparametre optimizasyonu denenmiş ancak iyileşme sağlamamıştır (R² 0.560 → 0.487). Sınırlı veri boyutunda optimizasyon sürecinin eğitim setine aşırı uyum sağlaması bu sonucu açıklamaktadır.</w:t>
      </w:r>
    </w:p>
    <w:p>
      <w:pPr>
        <w:pStyle w:val="ListParagraph"/>
        <w:numPr>
          <w:ilvl w:val="0"/>
          <w:numId w:val="2"/>
        </w:numPr>
        <w:spacing w:after="90"/>
      </w:pPr>
      <w:r>
        <w:rPr>
          <w:sz w:val="20"/>
          <w:szCs w:val="20"/>
        </w:rPr>
        <w:t xml:space="preserve">Modelin en çok yanıldığı gözlemler Sudan ve Güney Sudan gibi çatışma yaşayan ülkelerdir. Çatışma verisi modelde yer almadığından bu satırlar açıklanamamaktadır.</w:t>
      </w:r>
    </w:p>
    <w:p>
      <w:pPr>
        <w:pStyle w:val="ListParagraph"/>
        <w:numPr>
          <w:ilvl w:val="0"/>
          <w:numId w:val="2"/>
        </w:numPr>
        <w:spacing w:after="90"/>
      </w:pPr>
      <w:r>
        <w:rPr>
          <w:sz w:val="20"/>
          <w:szCs w:val="20"/>
        </w:rPr>
        <w:t xml:space="preserve">Veri seti 1.190 gözlemle sınırlıdır. Nüfus verisi bulunmadığından kişi başına göstergeler hesaplanamamıştır.</w:t>
      </w:r>
    </w:p>
    <w:p>
      <w:pPr>
        <w:pStyle w:val="Heading2"/>
        <w:spacing w:after="120" w:before="300"/>
      </w:pPr>
      <w:r>
        <w:rPr>
          <w:b/>
          <w:bCs/>
          <w:color w:val="1F6E6B"/>
          <w:sz w:val="24"/>
          <w:szCs w:val="24"/>
        </w:rPr>
        <w:t xml:space="preserve">8. Sonuç ve Öneri</w:t>
      </w:r>
    </w:p>
    <w:p>
      <w:pPr>
        <w:spacing w:after="120"/>
      </w:pPr>
      <w:r>
        <w:rPr>
          <w:sz w:val="20"/>
          <w:szCs w:val="20"/>
        </w:rPr>
        <w:t xml:space="preserve">CatBoost hem tahmin performansı hem kararlılık açısından üstündür ve final model olarak önerilmektedir. Ridge ise tahmin modeli olarak yetersiz kalmakla birlikte, ilişkinin doğrusal olmadığını göstermesi ve etki yönlerini vermesi bakımından analitik değer taşımaktadır; bu nedenle raporda karşılaştırma modeli olarak korunması önerilmektedir.</w:t>
      </w:r>
    </w:p>
    <w:p>
      <w:pPr>
        <w:spacing w:after="120"/>
      </w:pPr>
      <w:r>
        <w:rPr>
          <w:b/>
          <w:bCs/>
          <w:sz w:val="20"/>
          <w:szCs w:val="20"/>
        </w:rPr>
        <w:t xml:space="preserve">Ekipteki diğer modellerle nihai karşılaştırma yapılabilmesi için tüm modellerin aynı veri seti, aynı train/test ayrımı ve aynı ölçütlerle üretilmiş olması gerekmektedir. Aksi halde modeller arasındaki farkın algoritmadan mı yoksa veri kurulumundan mı kaynaklandığı ayırt edilemez.</w:t>
      </w:r>
    </w:p>
    <w:p>
      <w:pPr>
        <w:pBdr>
          <w:top w:val="single" w:color="DDDDDD" w:sz="6"/>
        </w:pBdr>
        <w:spacing w:before="260"/>
      </w:pPr>
      <w:r>
        <w:rPr>
          <w:sz w:val="12"/>
          <w:szCs w:val="12"/>
        </w:rPr>
        <w:t xml:space="preserve"> </w:t>
      </w:r>
    </w:p>
    <w:p>
      <w:r>
        <w:rPr>
          <w:i/>
          <w:iCs/>
          <w:color w:val="666666"/>
          <w:sz w:val="18"/>
          <w:szCs w:val="18"/>
        </w:rPr>
        <w:t xml:space="preserve">Ekler: veri_birlestirme.ipynb · modelleme_catboost_ridge.ipynb · birlesik_tablo.xlsx · outputs/ (metrik tabloları, tahminler, katsayılar)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2026-08-22T21:28:43.768Z</dcterms:created>
  <dcterms:modified xsi:type="dcterms:W3CDTF">2026-08-22T21:28:43.768Z</dcterms:modified>
</cp:coreProperties>
</file>

<file path=docProps/custom.xml><?xml version="1.0" encoding="utf-8"?>
<Properties xmlns="http://schemas.openxmlformats.org/officeDocument/2006/custom-properties" xmlns:vt="http://schemas.openxmlformats.org/officeDocument/2006/docPropsVTypes"/>
</file>