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847580">
      <w:pPr>
        <w:rPr>
          <w:b/>
        </w:rPr>
      </w:pPr>
      <w:r w:rsidRPr="00847580">
        <w:rPr>
          <w:b/>
        </w:rPr>
        <w:t>Literature Review</w:t>
      </w:r>
    </w:p>
    <w:p w:rsidR="00847580" w:rsidRDefault="00847580">
      <w:pPr>
        <w:rPr>
          <w:b/>
        </w:rPr>
      </w:pPr>
      <w:r>
        <w:rPr>
          <w:b/>
        </w:rPr>
        <w:t>Weld Defects Classification and CSA Z662.11</w:t>
      </w:r>
    </w:p>
    <w:p w:rsidR="00847580" w:rsidRDefault="00847580" w:rsidP="002E738C">
      <w:pPr>
        <w:jc w:val="both"/>
      </w:pPr>
      <w:r w:rsidRPr="00847580">
        <w:t xml:space="preserve">The Canadian Standards Association Code of Practice </w:t>
      </w:r>
      <w:r>
        <w:t>CSA Z662.11 classifies possible weld defects as surface breaking and buried (</w:t>
      </w:r>
      <w:r>
        <w:fldChar w:fldCharType="begin"/>
      </w:r>
      <w:r>
        <w:instrText xml:space="preserve"> REF _Ref390656348 \h </w:instrText>
      </w:r>
      <w:r w:rsidR="002E738C">
        <w:instrText xml:space="preserve"> \* MERGEFORMAT </w:instrText>
      </w:r>
      <w:r>
        <w:fldChar w:fldCharType="separate"/>
      </w:r>
      <w:r w:rsidRPr="00847580">
        <w:t xml:space="preserve">Figure </w:t>
      </w:r>
      <w:r w:rsidRPr="00847580">
        <w:rPr>
          <w:noProof/>
        </w:rPr>
        <w:t>1</w:t>
      </w:r>
      <w:r>
        <w:fldChar w:fldCharType="end"/>
      </w:r>
      <w:r>
        <w:t>).</w:t>
      </w:r>
      <w:r w:rsidR="00EC7E02">
        <w:t xml:space="preserve"> Surface breaking defects are those resembling a crack that is connected to the surface of the pipe</w:t>
      </w:r>
      <w:r w:rsidR="00DB4DC7">
        <w:t xml:space="preserve"> wall</w:t>
      </w:r>
      <w:r w:rsidR="00EC7E02">
        <w:t>, whereas buried defects are those that are not connec</w:t>
      </w:r>
      <w:r w:rsidR="00DB4DC7">
        <w:t>ted to the surface of the pipe wall. Although the surface breaking defect is depicted</w:t>
      </w:r>
      <w:r w:rsidR="002E738C">
        <w:t xml:space="preserve"> in </w:t>
      </w:r>
      <w:r w:rsidR="002E738C">
        <w:fldChar w:fldCharType="begin"/>
      </w:r>
      <w:r w:rsidR="002E738C">
        <w:instrText xml:space="preserve"> REF _Ref390656348 \h </w:instrText>
      </w:r>
      <w:r w:rsidR="002E738C">
        <w:instrText xml:space="preserve"> \* MERGEFORMAT </w:instrText>
      </w:r>
      <w:r w:rsidR="002E738C">
        <w:fldChar w:fldCharType="separate"/>
      </w:r>
      <w:r w:rsidR="002E738C" w:rsidRPr="00847580">
        <w:t xml:space="preserve">Figure </w:t>
      </w:r>
      <w:r w:rsidR="002E738C" w:rsidRPr="00847580">
        <w:rPr>
          <w:noProof/>
        </w:rPr>
        <w:t>1</w:t>
      </w:r>
      <w:r w:rsidR="002E738C">
        <w:fldChar w:fldCharType="end"/>
      </w:r>
      <w:r w:rsidR="00DB4DC7">
        <w:t xml:space="preserve"> on the inner surface of the pipe wall, the CSA code doesn’t distinguish between surface flaws on the inner surface and those on the outer surface.  </w:t>
      </w:r>
      <w:r w:rsidR="002E738C">
        <w:t>According to Z662.11, in the absence of experimental data, the critical tensile strain of the pipe material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crit</m:t>
            </m:r>
          </m:sup>
        </m:sSubSup>
      </m:oMath>
      <w:r w:rsidR="002E738C">
        <w:t xml:space="preserve">) can be calculated based on </w:t>
      </w:r>
      <w:r w:rsidR="008E286E">
        <w:t>equation (1) and equation (2)</w:t>
      </w:r>
      <w:r w:rsidR="002E738C">
        <w:t xml:space="preserve"> corresponding to the crack types depicted </w:t>
      </w:r>
      <w:r w:rsidR="008E286E">
        <w:t>on the left and right side of</w:t>
      </w:r>
      <w:r w:rsidR="002E738C">
        <w:t xml:space="preserve"> </w:t>
      </w:r>
      <w:r w:rsidR="002E738C">
        <w:fldChar w:fldCharType="begin"/>
      </w:r>
      <w:r w:rsidR="002E738C">
        <w:instrText xml:space="preserve"> REF _Ref390656348 \h </w:instrText>
      </w:r>
      <w:r w:rsidR="002E738C">
        <w:fldChar w:fldCharType="separate"/>
      </w:r>
      <w:r w:rsidR="002E738C" w:rsidRPr="00847580">
        <w:t xml:space="preserve">Figure </w:t>
      </w:r>
      <w:r w:rsidR="002E738C" w:rsidRPr="00847580">
        <w:rPr>
          <w:noProof/>
        </w:rPr>
        <w:t>1</w:t>
      </w:r>
      <w:r w:rsidR="002E738C">
        <w:fldChar w:fldCharType="end"/>
      </w:r>
      <w:r w:rsidR="008E286E">
        <w:t xml:space="preserve"> respectively</w:t>
      </w:r>
      <w:r w:rsidR="002E738C">
        <w:t xml:space="preserve">.  </w:t>
      </w:r>
      <w:r w:rsidR="00EC7E02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47580" w:rsidTr="008E286E">
        <w:tc>
          <w:tcPr>
            <w:tcW w:w="4788" w:type="dxa"/>
            <w:vAlign w:val="center"/>
          </w:tcPr>
          <w:p w:rsidR="00847580" w:rsidRDefault="00847580" w:rsidP="00847580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179B5294" wp14:editId="3CBBBBF3">
                  <wp:extent cx="2991485" cy="1263015"/>
                  <wp:effectExtent l="0" t="0" r="0" b="0"/>
                  <wp:docPr id="19" name="Picture 19" descr="surface def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urface defec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47580" w:rsidRDefault="00847580" w:rsidP="00847580">
            <w:pPr>
              <w:keepNext/>
            </w:pPr>
            <w:r>
              <w:rPr>
                <w:noProof/>
                <w:lang w:eastAsia="en-CA"/>
              </w:rPr>
              <w:drawing>
                <wp:inline distT="0" distB="0" distL="0" distR="0" wp14:anchorId="09263E5C" wp14:editId="1B33042D">
                  <wp:extent cx="2990850" cy="2857500"/>
                  <wp:effectExtent l="0" t="0" r="0" b="0"/>
                  <wp:docPr id="4" name="Picture 4" descr="buried def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uried defec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580" w:rsidRDefault="00847580" w:rsidP="00847580">
      <w:pPr>
        <w:pStyle w:val="Caption"/>
        <w:jc w:val="center"/>
      </w:pPr>
      <w:bookmarkStart w:id="0" w:name="_Ref390656348"/>
      <w:r w:rsidRPr="00847580">
        <w:rPr>
          <w:color w:val="auto"/>
        </w:rPr>
        <w:t xml:space="preserve">Figure </w:t>
      </w:r>
      <w:r w:rsidRPr="00847580">
        <w:rPr>
          <w:color w:val="auto"/>
        </w:rPr>
        <w:fldChar w:fldCharType="begin"/>
      </w:r>
      <w:r w:rsidRPr="00847580">
        <w:rPr>
          <w:color w:val="auto"/>
        </w:rPr>
        <w:instrText xml:space="preserve"> SEQ Figure \* ARABIC </w:instrText>
      </w:r>
      <w:r w:rsidRPr="00847580">
        <w:rPr>
          <w:color w:val="auto"/>
        </w:rPr>
        <w:fldChar w:fldCharType="separate"/>
      </w:r>
      <w:r w:rsidRPr="00847580">
        <w:rPr>
          <w:noProof/>
          <w:color w:val="auto"/>
        </w:rPr>
        <w:t>1</w:t>
      </w:r>
      <w:r w:rsidRPr="00847580">
        <w:rPr>
          <w:color w:val="auto"/>
        </w:rPr>
        <w:fldChar w:fldCharType="end"/>
      </w:r>
      <w:bookmarkEnd w:id="0"/>
      <w:r w:rsidRPr="00847580">
        <w:rPr>
          <w:color w:val="auto"/>
        </w:rPr>
        <w:t>: Classification of weld defects according to CSA Z662.11 as surface breaking (left) and buried (right</w:t>
      </w:r>
      <w:r w:rsidRPr="00814EDC">
        <w:rPr>
          <w:color w:val="auto"/>
        </w:rPr>
        <w:t>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896"/>
        <w:gridCol w:w="4143"/>
        <w:gridCol w:w="567"/>
      </w:tblGrid>
      <w:tr w:rsidR="008E286E" w:rsidTr="008E286E">
        <w:trPr>
          <w:trHeight w:val="657"/>
        </w:trPr>
        <w:tc>
          <w:tcPr>
            <w:tcW w:w="9039" w:type="dxa"/>
            <w:gridSpan w:val="2"/>
            <w:vAlign w:val="center"/>
            <w:hideMark/>
          </w:tcPr>
          <w:p w:rsidR="008E286E" w:rsidRDefault="008E286E">
            <w:pPr>
              <w:keepNext/>
              <w:suppressAutoHyphens/>
              <w:overflowPunct w:val="0"/>
              <w:autoSpaceDE w:val="0"/>
              <w:autoSpaceDN w:val="0"/>
              <w:adjustRightInd w:val="0"/>
              <w:ind w:firstLine="357"/>
              <w:jc w:val="center"/>
              <w:rPr>
                <w:kern w:val="14"/>
                <w:position w:val="-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crit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2.36-1.58λ-0.101ξη</m:t>
                    </m:r>
                  </m:sup>
                </m:sSup>
                <m:r>
                  <w:rPr>
                    <w:rFonts w:ascii="Cambria Math" w:hAnsi="Cambria Math"/>
                  </w:rPr>
                  <m:t>(1+16.1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-4.45</m:t>
                    </m:r>
                  </m:sup>
                </m:sSup>
                <m:r>
                  <w:rPr>
                    <w:rFonts w:ascii="Cambria Math" w:hAnsi="Cambria Math"/>
                  </w:rPr>
                  <m:t>)(-0.157+0.239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-0.241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-0.315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7" w:type="dxa"/>
            <w:vAlign w:val="center"/>
            <w:hideMark/>
          </w:tcPr>
          <w:p w:rsidR="008E286E" w:rsidRDefault="008E286E">
            <w:pPr>
              <w:suppressAutoHyphens/>
              <w:overflowPunct w:val="0"/>
              <w:autoSpaceDE w:val="0"/>
              <w:autoSpaceDN w:val="0"/>
              <w:adjustRightInd w:val="0"/>
              <w:rPr>
                <w:kern w:val="14"/>
                <w:lang w:val="en-US"/>
              </w:rPr>
            </w:pPr>
            <w:bookmarkStart w:id="1" w:name="_Ref316948401"/>
            <w:bookmarkStart w:id="2" w:name="_Ref316948409"/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1"/>
            <w:r>
              <w:t>)</w:t>
            </w:r>
            <w:bookmarkEnd w:id="2"/>
          </w:p>
        </w:tc>
      </w:tr>
      <w:tr w:rsidR="008E286E" w:rsidTr="008E286E">
        <w:trPr>
          <w:trHeight w:val="657"/>
        </w:trPr>
        <w:tc>
          <w:tcPr>
            <w:tcW w:w="9039" w:type="dxa"/>
            <w:gridSpan w:val="2"/>
            <w:vAlign w:val="center"/>
            <w:hideMark/>
          </w:tcPr>
          <w:p w:rsidR="008E286E" w:rsidRDefault="008E286E" w:rsidP="008E286E">
            <w:pPr>
              <w:keepNext/>
              <w:ind w:firstLine="357"/>
              <w:rPr>
                <w:kern w:val="14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crit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1.08-0.612η-0.0735ξ+0.364ψ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12.3-4.65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kern w:val="1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+0.495t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11.8-10.6λ</m:t>
                    </m:r>
                  </m:e>
                </m:d>
              </m:oMath>
            </m:oMathPara>
          </w:p>
          <w:p w:rsidR="008E286E" w:rsidRDefault="008E286E" w:rsidP="008E286E">
            <w:pPr>
              <w:keepNext/>
              <w:ind w:firstLine="357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-5.14+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kern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0.992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+20.1ψ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-3.63+11.0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kern w:val="1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-8.44η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286E" w:rsidRDefault="008E286E" w:rsidP="008E286E">
            <w:pPr>
              <w:keepNext/>
              <w:suppressAutoHyphens/>
              <w:overflowPunct w:val="0"/>
              <w:autoSpaceDE w:val="0"/>
              <w:autoSpaceDN w:val="0"/>
              <w:adjustRightInd w:val="0"/>
              <w:ind w:firstLine="357"/>
              <w:jc w:val="center"/>
              <w:rPr>
                <w:kern w:val="14"/>
                <w:position w:val="-1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kern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-0.836+0.733η+0.0483ξ+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kern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3.49-14.6η-12.9ψ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1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1.84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567" w:type="dxa"/>
            <w:vAlign w:val="center"/>
            <w:hideMark/>
          </w:tcPr>
          <w:p w:rsidR="008E286E" w:rsidRDefault="008E286E" w:rsidP="008E286E">
            <w:pPr>
              <w:suppressAutoHyphens/>
              <w:overflowPunct w:val="0"/>
              <w:autoSpaceDE w:val="0"/>
              <w:autoSpaceDN w:val="0"/>
              <w:adjustRightInd w:val="0"/>
              <w:rPr>
                <w:kern w:val="14"/>
                <w:lang w:val="en-US"/>
              </w:rPr>
            </w:pPr>
            <w:r>
              <w:rPr>
                <w:kern w:val="14"/>
                <w:lang w:val="en-US"/>
              </w:rPr>
              <w:t>(2)</w:t>
            </w:r>
          </w:p>
        </w:tc>
      </w:tr>
      <w:tr w:rsidR="008E286E" w:rsidTr="008E286E">
        <w:trPr>
          <w:gridAfter w:val="2"/>
          <w:wAfter w:w="4710" w:type="dxa"/>
        </w:trPr>
        <w:tc>
          <w:tcPr>
            <w:tcW w:w="4896" w:type="dxa"/>
            <w:hideMark/>
          </w:tcPr>
          <w:p w:rsidR="008E286E" w:rsidRDefault="008E286E">
            <w:pPr>
              <w:keepNext/>
              <w:suppressAutoHyphens/>
              <w:overflowPunct w:val="0"/>
              <w:autoSpaceDE w:val="0"/>
              <w:autoSpaceDN w:val="0"/>
              <w:adjustRightInd w:val="0"/>
              <w:ind w:firstLine="357"/>
              <w:jc w:val="both"/>
              <w:rPr>
                <w:kern w:val="14"/>
                <w:lang w:val="en-US"/>
              </w:rPr>
            </w:pPr>
          </w:p>
        </w:tc>
      </w:tr>
      <w:tr w:rsidR="008E286E" w:rsidTr="008E286E">
        <w:trPr>
          <w:gridAfter w:val="2"/>
          <w:wAfter w:w="4710" w:type="dxa"/>
        </w:trPr>
        <w:tc>
          <w:tcPr>
            <w:tcW w:w="4896" w:type="dxa"/>
            <w:vAlign w:val="center"/>
            <w:hideMark/>
          </w:tcPr>
          <w:p w:rsidR="008E286E" w:rsidRDefault="008E286E" w:rsidP="008E286E">
            <w:pPr>
              <w:keepNext/>
              <w:suppressAutoHyphens/>
              <w:overflowPunct w:val="0"/>
              <w:autoSpaceDE w:val="0"/>
              <w:autoSpaceDN w:val="0"/>
              <w:adjustRightInd w:val="0"/>
              <w:ind w:firstLine="357"/>
              <w:rPr>
                <w:kern w:val="14"/>
                <w:lang w:val="en-US"/>
              </w:rPr>
            </w:pPr>
          </w:p>
        </w:tc>
      </w:tr>
    </w:tbl>
    <w:p w:rsidR="008E286E" w:rsidRDefault="008E286E" w:rsidP="008E286E">
      <w:bookmarkStart w:id="3" w:name="_GoBack"/>
      <w:r>
        <w:t>Eq. (1) and eq. (2) are developed based on the extensive experimental work conducted by Wang et al</w:t>
      </w:r>
    </w:p>
    <w:bookmarkEnd w:id="3"/>
    <w:p w:rsidR="008E286E" w:rsidRDefault="008E286E" w:rsidP="008E286E">
      <w:pPr>
        <w:rPr>
          <w:b/>
        </w:rPr>
      </w:pPr>
      <w:r w:rsidRPr="008E286E">
        <w:rPr>
          <w:b/>
        </w:rPr>
        <w:t>References</w:t>
      </w:r>
    </w:p>
    <w:p w:rsidR="008E286E" w:rsidRPr="008E286E" w:rsidRDefault="008E286E" w:rsidP="008E286E">
      <w:bookmarkStart w:id="4" w:name="wang1"/>
      <w:r w:rsidRPr="008E286E">
        <w:lastRenderedPageBreak/>
        <w:t>[1]</w:t>
      </w:r>
      <w:bookmarkEnd w:id="4"/>
      <w:r>
        <w:t xml:space="preserve"> Wang Y.Y., Chen Y. (2005)</w:t>
      </w:r>
      <w:r w:rsidR="00542BF5">
        <w:t>,</w:t>
      </w:r>
      <w:r>
        <w:t xml:space="preserve"> </w:t>
      </w:r>
      <w:r w:rsidR="00542BF5">
        <w:t>“</w:t>
      </w:r>
      <w:r>
        <w:t>Reliability Based Strain Design. Gas Research Institute Report 0</w:t>
      </w:r>
      <w:r w:rsidR="00542BF5">
        <w:t>4/0146”,</w:t>
      </w:r>
      <w:r>
        <w:t xml:space="preserve"> Des Plaines, IL.</w:t>
      </w:r>
    </w:p>
    <w:p w:rsidR="008E286E" w:rsidRPr="008E286E" w:rsidRDefault="008E286E" w:rsidP="008E286E">
      <w:bookmarkStart w:id="5" w:name="wang2"/>
      <w:r w:rsidRPr="008E286E">
        <w:t>[2]</w:t>
      </w:r>
      <w:bookmarkEnd w:id="5"/>
      <w:r>
        <w:t xml:space="preserve"> </w:t>
      </w:r>
      <w:r>
        <w:t>Wang Y.Y., Chen</w:t>
      </w:r>
      <w:r>
        <w:t>g</w:t>
      </w:r>
      <w:r>
        <w:t xml:space="preserve"> </w:t>
      </w:r>
      <w:r>
        <w:t>W</w:t>
      </w:r>
      <w:r>
        <w:t>.</w:t>
      </w:r>
      <w:r>
        <w:t xml:space="preserve"> (2004)</w:t>
      </w:r>
      <w:r w:rsidR="00542BF5">
        <w:t xml:space="preserve">,”Guidelines on Tensile Strain Limits. </w:t>
      </w:r>
      <w:r w:rsidR="00542BF5">
        <w:t>Gas Research Institute Report</w:t>
      </w:r>
      <w:r w:rsidR="00542BF5">
        <w:t xml:space="preserve"> 04/0030”, </w:t>
      </w:r>
      <w:r w:rsidR="00542BF5">
        <w:t>Des Plaines, IL.</w:t>
      </w:r>
    </w:p>
    <w:p w:rsidR="008E286E" w:rsidRPr="008E286E" w:rsidRDefault="008E286E" w:rsidP="008E286E">
      <w:bookmarkStart w:id="6" w:name="wang3"/>
      <w:r w:rsidRPr="008E286E">
        <w:t>[3]</w:t>
      </w:r>
      <w:bookmarkEnd w:id="6"/>
      <w:r w:rsidR="00542BF5">
        <w:t xml:space="preserve"> </w:t>
      </w:r>
      <w:r w:rsidR="00542BF5">
        <w:t>Wang Y.Y., Cheng W.</w:t>
      </w:r>
      <w:r w:rsidR="00542BF5">
        <w:t>, Horsley D. (2004),”Tensile Strain Limits of Buried Defects in Pipeline Girth Welds ”, Proceedings of the International Pipeline Conference, Calgary, Alberta</w:t>
      </w:r>
    </w:p>
    <w:p w:rsidR="008E286E" w:rsidRDefault="008E286E" w:rsidP="00542BF5">
      <w:bookmarkStart w:id="7" w:name="wang4"/>
      <w:proofErr w:type="gramStart"/>
      <w:r w:rsidRPr="008E286E">
        <w:t>[4]</w:t>
      </w:r>
      <w:bookmarkEnd w:id="7"/>
      <w:r w:rsidR="00542BF5">
        <w:t xml:space="preserve"> Wang Y.Y. et al (2004), “</w:t>
      </w:r>
      <w:r w:rsidR="00542BF5">
        <w:t xml:space="preserve">Tensile Strain Limits of Girth Welds </w:t>
      </w:r>
      <w:r w:rsidR="00542BF5">
        <w:t>with Surface-Breaking Defects Part I – An Analytical Framework”, Proceedings of the 4</w:t>
      </w:r>
      <w:r w:rsidR="00542BF5" w:rsidRPr="00542BF5">
        <w:rPr>
          <w:vertAlign w:val="superscript"/>
        </w:rPr>
        <w:t>th</w:t>
      </w:r>
      <w:r w:rsidR="00542BF5">
        <w:t xml:space="preserve"> International Conference on Pipeline Technology, 235-249.</w:t>
      </w:r>
      <w:proofErr w:type="gramEnd"/>
      <w:r w:rsidR="00542BF5">
        <w:t xml:space="preserve"> </w:t>
      </w:r>
    </w:p>
    <w:p w:rsidR="008E286E" w:rsidRPr="008E286E" w:rsidRDefault="008E286E" w:rsidP="008E286E">
      <w:bookmarkStart w:id="8" w:name="wang5"/>
      <w:proofErr w:type="gramStart"/>
      <w:r>
        <w:t>[5]</w:t>
      </w:r>
      <w:bookmarkEnd w:id="8"/>
      <w:r w:rsidR="00542BF5">
        <w:t xml:space="preserve"> </w:t>
      </w:r>
      <w:r w:rsidR="00542BF5">
        <w:t>Wang Y.Y. et al (2004),</w:t>
      </w:r>
      <w:r w:rsidR="00542BF5">
        <w:t xml:space="preserve"> “</w:t>
      </w:r>
      <w:r w:rsidR="00542BF5">
        <w:t>Tensile Strain Limits of Girth Welds with Surface-Breaking Defects Part I</w:t>
      </w:r>
      <w:r w:rsidR="00542BF5">
        <w:t>I</w:t>
      </w:r>
      <w:r w:rsidR="00542BF5">
        <w:t xml:space="preserve"> –</w:t>
      </w:r>
      <w:r w:rsidR="00542BF5">
        <w:t xml:space="preserve"> Experimental Correlation and Validation”, </w:t>
      </w:r>
      <w:r w:rsidR="00542BF5">
        <w:t>Proceedings of the 4</w:t>
      </w:r>
      <w:r w:rsidR="00542BF5" w:rsidRPr="00542BF5">
        <w:rPr>
          <w:vertAlign w:val="superscript"/>
        </w:rPr>
        <w:t>th</w:t>
      </w:r>
      <w:r w:rsidR="00542BF5">
        <w:t xml:space="preserve"> International Confer</w:t>
      </w:r>
      <w:r w:rsidR="00542BF5">
        <w:t>ence on Pipeline Technology, 251</w:t>
      </w:r>
      <w:r w:rsidR="00542BF5">
        <w:t>-2</w:t>
      </w:r>
      <w:r w:rsidR="00542BF5">
        <w:t>66</w:t>
      </w:r>
      <w:r w:rsidR="00542BF5">
        <w:t>.</w:t>
      </w:r>
      <w:proofErr w:type="gramEnd"/>
    </w:p>
    <w:sectPr w:rsidR="008E286E" w:rsidRPr="008E2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80"/>
    <w:rsid w:val="0008128B"/>
    <w:rsid w:val="0018208F"/>
    <w:rsid w:val="00230C44"/>
    <w:rsid w:val="002E738C"/>
    <w:rsid w:val="00542BF5"/>
    <w:rsid w:val="0061117C"/>
    <w:rsid w:val="00814EDC"/>
    <w:rsid w:val="00847580"/>
    <w:rsid w:val="0088230A"/>
    <w:rsid w:val="008E286E"/>
    <w:rsid w:val="00DB4DC7"/>
    <w:rsid w:val="00E6350F"/>
    <w:rsid w:val="00EC276F"/>
    <w:rsid w:val="00EC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475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E73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475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E7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5</cp:revision>
  <dcterms:created xsi:type="dcterms:W3CDTF">2014-06-16T10:22:00Z</dcterms:created>
  <dcterms:modified xsi:type="dcterms:W3CDTF">2014-06-16T12:28:00Z</dcterms:modified>
</cp:coreProperties>
</file>