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C13" w:rsidRDefault="00101C13" w:rsidP="00101C13">
      <w:pPr>
        <w:jc w:val="right"/>
        <w:rPr>
          <w:rFonts w:ascii="Arial" w:hAnsi="Arial"/>
          <w:b/>
        </w:rPr>
      </w:pPr>
      <w:bookmarkStart w:id="0" w:name="PutConferenceHere"/>
      <w:r>
        <w:rPr>
          <w:rFonts w:ascii="Arial" w:hAnsi="Arial"/>
          <w:b/>
        </w:rPr>
        <w:t>Proceedings of the 9</w:t>
      </w:r>
      <w:r>
        <w:rPr>
          <w:rFonts w:ascii="Arial" w:hAnsi="Arial"/>
          <w:b/>
          <w:vertAlign w:val="superscript"/>
        </w:rPr>
        <w:t>th</w:t>
      </w:r>
      <w:r>
        <w:rPr>
          <w:rFonts w:ascii="Arial" w:hAnsi="Arial"/>
          <w:b/>
        </w:rPr>
        <w:t xml:space="preserve"> International Pipeline Conference</w:t>
      </w:r>
    </w:p>
    <w:p w:rsidR="00101C13" w:rsidRDefault="00101C13" w:rsidP="00101C13">
      <w:pPr>
        <w:jc w:val="right"/>
        <w:rPr>
          <w:rFonts w:ascii="Arial" w:hAnsi="Arial"/>
          <w:b/>
        </w:rPr>
      </w:pPr>
      <w:r>
        <w:rPr>
          <w:rFonts w:ascii="Arial" w:hAnsi="Arial"/>
          <w:b/>
        </w:rPr>
        <w:t>IPC2012</w:t>
      </w:r>
    </w:p>
    <w:p w:rsidR="00101C13" w:rsidRDefault="00101C13" w:rsidP="00101C13">
      <w:pPr>
        <w:jc w:val="right"/>
        <w:rPr>
          <w:rFonts w:ascii="Arial" w:hAnsi="Arial"/>
          <w:b/>
        </w:rPr>
      </w:pPr>
      <w:r>
        <w:rPr>
          <w:rFonts w:ascii="Arial" w:hAnsi="Arial"/>
          <w:b/>
        </w:rPr>
        <w:t>September 24-28, 2012, Calgary, Alberta, Canada</w:t>
      </w:r>
    </w:p>
    <w:p w:rsidR="00101C13" w:rsidRDefault="00101C13" w:rsidP="00101C13">
      <w:pPr>
        <w:pStyle w:val="DocumentNumber"/>
      </w:pPr>
      <w:bookmarkStart w:id="1" w:name="PutDocumentNumberHere"/>
      <w:bookmarkEnd w:id="0"/>
      <w:r>
        <w:t>IPC2012-90736</w:t>
      </w:r>
    </w:p>
    <w:bookmarkEnd w:id="1"/>
    <w:p w:rsidR="00101C13" w:rsidRDefault="00101C13" w:rsidP="00101C13">
      <w:pPr>
        <w:sectPr w:rsidR="00101C13">
          <w:pgSz w:w="12240" w:h="15840"/>
          <w:pgMar w:top="720" w:right="720" w:bottom="1440" w:left="720" w:header="720" w:footer="720" w:gutter="0"/>
          <w:cols w:space="720"/>
        </w:sectPr>
      </w:pPr>
    </w:p>
    <w:p w:rsidR="00101C13" w:rsidRDefault="00101C13" w:rsidP="00101C13">
      <w:pPr>
        <w:pStyle w:val="Title"/>
      </w:pPr>
      <w:r>
        <w:lastRenderedPageBreak/>
        <w:t>INFLUENCE OF GIRTH WELD FLAW AND PIPE PARAMETERS ON THE CRITICAL LONGITUDINAL STRAIN OF STEEL PIPES</w:t>
      </w:r>
    </w:p>
    <w:p w:rsidR="00101C13" w:rsidRDefault="00101C13" w:rsidP="00101C13"/>
    <w:p w:rsidR="00101C13" w:rsidRDefault="00101C13" w:rsidP="00101C13"/>
    <w:tbl>
      <w:tblPr>
        <w:tblW w:w="0" w:type="auto"/>
        <w:tblLayout w:type="fixed"/>
        <w:tblLook w:val="04A0" w:firstRow="1" w:lastRow="0" w:firstColumn="1" w:lastColumn="0" w:noHBand="0" w:noVBand="1"/>
      </w:tblPr>
      <w:tblGrid>
        <w:gridCol w:w="3124"/>
        <w:gridCol w:w="3124"/>
        <w:gridCol w:w="3124"/>
      </w:tblGrid>
      <w:tr w:rsidR="00101C13" w:rsidTr="00101C13">
        <w:tc>
          <w:tcPr>
            <w:tcW w:w="3124" w:type="dxa"/>
            <w:hideMark/>
          </w:tcPr>
          <w:p w:rsidR="00101C13" w:rsidRDefault="00101C13">
            <w:pPr>
              <w:pStyle w:val="Author"/>
              <w:rPr>
                <w:rFonts w:cs="Arial"/>
              </w:rPr>
            </w:pPr>
            <w:bookmarkStart w:id="2" w:name="PutAuthorsHere"/>
            <w:proofErr w:type="spellStart"/>
            <w:r>
              <w:rPr>
                <w:rFonts w:cs="Arial"/>
              </w:rPr>
              <w:t>Celal</w:t>
            </w:r>
            <w:proofErr w:type="spellEnd"/>
            <w:r>
              <w:rPr>
                <w:rFonts w:cs="Arial"/>
              </w:rPr>
              <w:t xml:space="preserve"> </w:t>
            </w:r>
            <w:proofErr w:type="spellStart"/>
            <w:r>
              <w:rPr>
                <w:rFonts w:cs="Arial"/>
              </w:rPr>
              <w:t>Cakiroglu</w:t>
            </w:r>
            <w:proofErr w:type="spellEnd"/>
          </w:p>
          <w:p w:rsidR="00101C13" w:rsidRDefault="00101C13">
            <w:pPr>
              <w:pStyle w:val="Author"/>
              <w:rPr>
                <w:rFonts w:cs="Arial"/>
                <w:b w:val="0"/>
              </w:rPr>
            </w:pPr>
            <w:r>
              <w:rPr>
                <w:rFonts w:cs="Arial"/>
                <w:b w:val="0"/>
              </w:rPr>
              <w:t>Department of Civil and Environmental Engineering, University of Alberta</w:t>
            </w:r>
          </w:p>
          <w:p w:rsidR="00101C13" w:rsidRDefault="00101C13">
            <w:pPr>
              <w:pStyle w:val="Affiliation"/>
            </w:pPr>
            <w:r>
              <w:rPr>
                <w:rFonts w:cs="Arial"/>
              </w:rPr>
              <w:t>Edmonton, Alberta, Canada</w:t>
            </w:r>
          </w:p>
        </w:tc>
        <w:tc>
          <w:tcPr>
            <w:tcW w:w="3124" w:type="dxa"/>
            <w:hideMark/>
          </w:tcPr>
          <w:p w:rsidR="00101C13" w:rsidRDefault="00101C13">
            <w:pPr>
              <w:pStyle w:val="Author"/>
              <w:rPr>
                <w:rFonts w:cs="Arial"/>
              </w:rPr>
            </w:pPr>
            <w:proofErr w:type="spellStart"/>
            <w:r>
              <w:rPr>
                <w:rFonts w:cs="Arial"/>
              </w:rPr>
              <w:t>Kajsa</w:t>
            </w:r>
            <w:proofErr w:type="spellEnd"/>
            <w:r>
              <w:rPr>
                <w:rFonts w:cs="Arial"/>
              </w:rPr>
              <w:t xml:space="preserve"> Duke</w:t>
            </w:r>
          </w:p>
          <w:p w:rsidR="00101C13" w:rsidRDefault="00101C13">
            <w:pPr>
              <w:pStyle w:val="Author"/>
              <w:rPr>
                <w:rFonts w:cs="Arial"/>
                <w:b w:val="0"/>
              </w:rPr>
            </w:pPr>
            <w:r>
              <w:rPr>
                <w:rFonts w:cs="Arial"/>
                <w:b w:val="0"/>
              </w:rPr>
              <w:t>Department of Mechanical Engineering, University of Alberta</w:t>
            </w:r>
          </w:p>
          <w:p w:rsidR="00101C13" w:rsidRDefault="00101C13">
            <w:pPr>
              <w:pStyle w:val="Author"/>
            </w:pPr>
            <w:r>
              <w:rPr>
                <w:rFonts w:cs="Arial"/>
                <w:b w:val="0"/>
              </w:rPr>
              <w:t>Edmonton, Alberta, Canada</w:t>
            </w:r>
          </w:p>
        </w:tc>
        <w:tc>
          <w:tcPr>
            <w:tcW w:w="3124" w:type="dxa"/>
            <w:hideMark/>
          </w:tcPr>
          <w:p w:rsidR="00101C13" w:rsidRDefault="00101C13">
            <w:pPr>
              <w:pStyle w:val="Author"/>
              <w:rPr>
                <w:rFonts w:cs="Arial"/>
              </w:rPr>
            </w:pPr>
            <w:r>
              <w:rPr>
                <w:rFonts w:cs="Arial"/>
              </w:rPr>
              <w:t>Marwan El</w:t>
            </w:r>
            <w:r>
              <w:rPr>
                <w:rFonts w:ascii="Cambria Math" w:hAnsi="Cambria Math" w:cs="Cambria Math"/>
              </w:rPr>
              <w:t>‐</w:t>
            </w:r>
            <w:r>
              <w:rPr>
                <w:rFonts w:cs="Arial"/>
              </w:rPr>
              <w:t>Rich</w:t>
            </w:r>
          </w:p>
          <w:p w:rsidR="00101C13" w:rsidRDefault="00101C13">
            <w:pPr>
              <w:pStyle w:val="Author"/>
              <w:rPr>
                <w:rFonts w:cs="Arial"/>
                <w:b w:val="0"/>
              </w:rPr>
            </w:pPr>
            <w:r>
              <w:rPr>
                <w:rFonts w:cs="Arial"/>
                <w:b w:val="0"/>
              </w:rPr>
              <w:t>Department of Civil and Environmental Engineering, University of Alberta</w:t>
            </w:r>
          </w:p>
          <w:p w:rsidR="00101C13" w:rsidRDefault="00101C13">
            <w:pPr>
              <w:pStyle w:val="Author"/>
            </w:pPr>
            <w:r>
              <w:rPr>
                <w:rFonts w:cs="Arial"/>
                <w:b w:val="0"/>
              </w:rPr>
              <w:t>Edmonton, Alberta, Canada</w:t>
            </w:r>
          </w:p>
        </w:tc>
      </w:tr>
    </w:tbl>
    <w:p w:rsidR="00101C13" w:rsidRDefault="00101C13" w:rsidP="00101C13">
      <w:pPr>
        <w:rPr>
          <w:kern w:val="14"/>
          <w:sz w:val="20"/>
          <w:szCs w:val="20"/>
          <w:lang w:val="en-US"/>
        </w:rPr>
      </w:pPr>
    </w:p>
    <w:p w:rsidR="00101C13" w:rsidRDefault="00101C13" w:rsidP="00101C13"/>
    <w:tbl>
      <w:tblPr>
        <w:tblW w:w="0" w:type="auto"/>
        <w:tblLayout w:type="fixed"/>
        <w:tblLook w:val="04A0" w:firstRow="1" w:lastRow="0" w:firstColumn="1" w:lastColumn="0" w:noHBand="0" w:noVBand="1"/>
      </w:tblPr>
      <w:tblGrid>
        <w:gridCol w:w="3125"/>
        <w:gridCol w:w="3125"/>
        <w:gridCol w:w="3125"/>
      </w:tblGrid>
      <w:tr w:rsidR="00101C13" w:rsidTr="00101C13">
        <w:tc>
          <w:tcPr>
            <w:tcW w:w="3125" w:type="dxa"/>
            <w:hideMark/>
          </w:tcPr>
          <w:p w:rsidR="00101C13" w:rsidRDefault="00101C13">
            <w:pPr>
              <w:pStyle w:val="Author"/>
              <w:rPr>
                <w:rFonts w:cs="Arial"/>
              </w:rPr>
            </w:pPr>
            <w:proofErr w:type="spellStart"/>
            <w:r>
              <w:rPr>
                <w:rFonts w:cs="Arial"/>
              </w:rPr>
              <w:t>Samer</w:t>
            </w:r>
            <w:proofErr w:type="spellEnd"/>
            <w:r>
              <w:rPr>
                <w:rFonts w:cs="Arial"/>
              </w:rPr>
              <w:t xml:space="preserve"> </w:t>
            </w:r>
            <w:proofErr w:type="spellStart"/>
            <w:r>
              <w:rPr>
                <w:rFonts w:cs="Arial"/>
              </w:rPr>
              <w:t>Adeeb</w:t>
            </w:r>
            <w:proofErr w:type="spellEnd"/>
          </w:p>
          <w:p w:rsidR="00101C13" w:rsidRDefault="00101C13">
            <w:pPr>
              <w:pStyle w:val="Author"/>
              <w:rPr>
                <w:rFonts w:cs="Arial"/>
                <w:b w:val="0"/>
              </w:rPr>
            </w:pPr>
            <w:r>
              <w:rPr>
                <w:rFonts w:cs="Arial"/>
                <w:b w:val="0"/>
              </w:rPr>
              <w:t>Department of Civil and Environmental Engineering, University of Alberta</w:t>
            </w:r>
          </w:p>
          <w:p w:rsidR="00101C13" w:rsidRDefault="00101C13">
            <w:pPr>
              <w:pStyle w:val="Author"/>
              <w:rPr>
                <w:b w:val="0"/>
              </w:rPr>
            </w:pPr>
            <w:r>
              <w:rPr>
                <w:rFonts w:cs="Arial"/>
                <w:b w:val="0"/>
              </w:rPr>
              <w:t>Edmonton, Alberta, Canada</w:t>
            </w:r>
          </w:p>
        </w:tc>
        <w:tc>
          <w:tcPr>
            <w:tcW w:w="3125" w:type="dxa"/>
            <w:hideMark/>
          </w:tcPr>
          <w:p w:rsidR="00101C13" w:rsidRDefault="00101C13">
            <w:pPr>
              <w:pStyle w:val="Author"/>
              <w:rPr>
                <w:rFonts w:cs="Arial"/>
              </w:rPr>
            </w:pPr>
            <w:r>
              <w:rPr>
                <w:rFonts w:cs="Arial"/>
              </w:rPr>
              <w:t>J. J. Roger Cheng</w:t>
            </w:r>
          </w:p>
          <w:p w:rsidR="00101C13" w:rsidRDefault="00101C13">
            <w:pPr>
              <w:pStyle w:val="Author"/>
              <w:rPr>
                <w:rFonts w:cs="Arial"/>
                <w:b w:val="0"/>
              </w:rPr>
            </w:pPr>
            <w:r>
              <w:rPr>
                <w:rFonts w:cs="Arial"/>
                <w:b w:val="0"/>
              </w:rPr>
              <w:t>Department of Civil and Environmental Engineering, University of Alberta</w:t>
            </w:r>
          </w:p>
          <w:p w:rsidR="00101C13" w:rsidRDefault="00101C13">
            <w:pPr>
              <w:pStyle w:val="Author"/>
              <w:rPr>
                <w:b w:val="0"/>
              </w:rPr>
            </w:pPr>
            <w:r>
              <w:rPr>
                <w:rFonts w:cs="Arial"/>
                <w:b w:val="0"/>
              </w:rPr>
              <w:t>Edmonton, Alberta, Canada</w:t>
            </w:r>
          </w:p>
        </w:tc>
        <w:tc>
          <w:tcPr>
            <w:tcW w:w="3125" w:type="dxa"/>
          </w:tcPr>
          <w:p w:rsidR="00101C13" w:rsidRDefault="00101C13">
            <w:pPr>
              <w:pStyle w:val="Author"/>
              <w:rPr>
                <w:rFonts w:cs="Arial"/>
              </w:rPr>
            </w:pPr>
            <w:proofErr w:type="spellStart"/>
            <w:r>
              <w:rPr>
                <w:rFonts w:cs="Arial"/>
              </w:rPr>
              <w:t>Millan</w:t>
            </w:r>
            <w:proofErr w:type="spellEnd"/>
            <w:r>
              <w:rPr>
                <w:rFonts w:cs="Arial"/>
              </w:rPr>
              <w:t xml:space="preserve"> </w:t>
            </w:r>
            <w:proofErr w:type="spellStart"/>
            <w:r>
              <w:rPr>
                <w:rFonts w:cs="Arial"/>
              </w:rPr>
              <w:t>Sen</w:t>
            </w:r>
            <w:proofErr w:type="spellEnd"/>
          </w:p>
          <w:p w:rsidR="00101C13" w:rsidRDefault="00101C13">
            <w:pPr>
              <w:pStyle w:val="Author"/>
              <w:rPr>
                <w:rFonts w:cs="Arial"/>
                <w:b w:val="0"/>
              </w:rPr>
            </w:pPr>
            <w:r>
              <w:rPr>
                <w:rFonts w:cs="Arial"/>
                <w:b w:val="0"/>
              </w:rPr>
              <w:t>Enbridge Pipelines Inc.</w:t>
            </w:r>
          </w:p>
          <w:p w:rsidR="00101C13" w:rsidRDefault="00101C13">
            <w:pPr>
              <w:pStyle w:val="Author"/>
            </w:pPr>
            <w:r>
              <w:rPr>
                <w:rFonts w:cs="Arial"/>
                <w:b w:val="0"/>
              </w:rPr>
              <w:t>Edmonton, Alberta, Canada</w:t>
            </w:r>
          </w:p>
          <w:p w:rsidR="00101C13" w:rsidRDefault="00101C13">
            <w:pPr>
              <w:pStyle w:val="Author"/>
              <w:rPr>
                <w:b w:val="0"/>
              </w:rPr>
            </w:pPr>
          </w:p>
        </w:tc>
      </w:tr>
    </w:tbl>
    <w:p w:rsidR="00101C13" w:rsidRDefault="00101C13" w:rsidP="00101C13">
      <w:pPr>
        <w:rPr>
          <w:kern w:val="14"/>
          <w:sz w:val="20"/>
          <w:szCs w:val="20"/>
          <w:lang w:val="en-US"/>
        </w:rPr>
      </w:pPr>
    </w:p>
    <w:p w:rsidR="00101C13" w:rsidRDefault="00101C13" w:rsidP="00101C13">
      <w:pPr>
        <w:rPr>
          <w:kern w:val="14"/>
          <w:sz w:val="20"/>
          <w:szCs w:val="20"/>
          <w:lang w:val="en-US"/>
        </w:rPr>
      </w:pPr>
    </w:p>
    <w:p w:rsidR="00101C13" w:rsidRDefault="00101C13" w:rsidP="00101C13">
      <w:pPr>
        <w:rPr>
          <w:kern w:val="14"/>
          <w:sz w:val="20"/>
          <w:szCs w:val="20"/>
          <w:lang w:val="en-US"/>
        </w:rPr>
      </w:pPr>
    </w:p>
    <w:bookmarkEnd w:id="2"/>
    <w:p w:rsidR="00101C13" w:rsidRDefault="00101C13" w:rsidP="00101C13">
      <w:pPr>
        <w:pStyle w:val="AbstractClauseTitle"/>
        <w:sectPr w:rsidR="00101C13">
          <w:type w:val="continuous"/>
          <w:pgSz w:w="12240" w:h="15840"/>
          <w:pgMar w:top="720" w:right="1440" w:bottom="1440" w:left="1440" w:header="720" w:footer="720" w:gutter="0"/>
          <w:cols w:space="720"/>
        </w:sectPr>
      </w:pPr>
    </w:p>
    <w:p w:rsidR="00101C13" w:rsidRDefault="00101C13" w:rsidP="00101C13">
      <w:pPr>
        <w:pStyle w:val="AbstractClauseTitle"/>
      </w:pPr>
      <w:r>
        <w:lastRenderedPageBreak/>
        <w:t>Abstract</w:t>
      </w:r>
    </w:p>
    <w:p w:rsidR="00101C13" w:rsidRDefault="00101C13" w:rsidP="00CB66B1">
      <w:pPr>
        <w:keepNext/>
        <w:spacing w:after="0" w:line="240" w:lineRule="auto"/>
        <w:ind w:firstLine="357"/>
        <w:jc w:val="both"/>
        <w:rPr>
          <w:rFonts w:ascii="Times New Roman" w:hAnsi="Times New Roman" w:cs="Times New Roman"/>
          <w:sz w:val="20"/>
          <w:szCs w:val="20"/>
        </w:rPr>
      </w:pPr>
      <w:r w:rsidRPr="00101C13">
        <w:rPr>
          <w:rFonts w:ascii="Times New Roman" w:hAnsi="Times New Roman" w:cs="Times New Roman"/>
          <w:sz w:val="20"/>
          <w:szCs w:val="20"/>
        </w:rPr>
        <w:t xml:space="preserve">The design of steel pipelines against longitudinal loading induced by soil movement and temperature requires an understanding of the strain demand induced by the environment in comparison with the strain resistance of the pipes. Girth weld flaws have been identified as the potential location of failure under longitudinal tensile strains due to being the least ductile. Strain based design for the prediction of the longitudinal tensile strain capacity of steel pipes have been extensively studied by Wang, et al and included in the Canadian standards association code of practice CSA Z662.11 </w:t>
      </w:r>
      <w:r w:rsidRPr="00101C13">
        <w:rPr>
          <w:rFonts w:ascii="Times New Roman" w:hAnsi="Times New Roman" w:cs="Times New Roman"/>
          <w:sz w:val="20"/>
          <w:szCs w:val="20"/>
        </w:rPr>
        <w:fldChar w:fldCharType="begin"/>
      </w:r>
      <w:r w:rsidRPr="00101C13">
        <w:rPr>
          <w:rFonts w:ascii="Times New Roman" w:hAnsi="Times New Roman" w:cs="Times New Roman"/>
          <w:sz w:val="20"/>
          <w:szCs w:val="20"/>
        </w:rPr>
        <w:instrText xml:space="preserve"> REF csa \h </w:instrText>
      </w:r>
      <w:r w:rsidRPr="00101C13">
        <w:rPr>
          <w:rFonts w:ascii="Times New Roman" w:hAnsi="Times New Roman" w:cs="Times New Roman"/>
          <w:sz w:val="20"/>
          <w:szCs w:val="20"/>
        </w:rPr>
      </w:r>
      <w:r w:rsidRPr="00101C13">
        <w:rPr>
          <w:rFonts w:ascii="Times New Roman" w:hAnsi="Times New Roman" w:cs="Times New Roman"/>
          <w:sz w:val="20"/>
          <w:szCs w:val="20"/>
        </w:rPr>
        <w:instrText xml:space="preserve"> \* MERGEFORMAT </w:instrText>
      </w:r>
      <w:r w:rsidRPr="00101C13">
        <w:rPr>
          <w:rFonts w:ascii="Times New Roman" w:hAnsi="Times New Roman" w:cs="Times New Roman"/>
          <w:sz w:val="20"/>
          <w:szCs w:val="20"/>
        </w:rPr>
        <w:fldChar w:fldCharType="separate"/>
      </w:r>
      <w:r w:rsidRPr="00101C13">
        <w:rPr>
          <w:rFonts w:ascii="Times New Roman" w:hAnsi="Times New Roman" w:cs="Times New Roman"/>
          <w:sz w:val="20"/>
          <w:szCs w:val="20"/>
        </w:rPr>
        <w:t>[1]</w:t>
      </w:r>
      <w:r w:rsidRPr="00101C13">
        <w:rPr>
          <w:rFonts w:ascii="Times New Roman" w:hAnsi="Times New Roman" w:cs="Times New Roman"/>
          <w:sz w:val="20"/>
          <w:szCs w:val="20"/>
        </w:rPr>
        <w:fldChar w:fldCharType="end"/>
      </w:r>
      <w:r w:rsidRPr="00101C13">
        <w:rPr>
          <w:rFonts w:ascii="Times New Roman" w:hAnsi="Times New Roman" w:cs="Times New Roman"/>
          <w:sz w:val="20"/>
          <w:szCs w:val="20"/>
        </w:rPr>
        <w:t>. The extensive track record of tests have culminated into two sets of equations for the critical strain in girth welded pipes with surface breaking and buried defects as functions of the different pipe and flaw parameters.</w:t>
      </w:r>
    </w:p>
    <w:p w:rsidR="00101C13" w:rsidRPr="00101C13" w:rsidRDefault="00101C13" w:rsidP="00CB66B1">
      <w:pPr>
        <w:keepNext/>
        <w:spacing w:after="0" w:line="240" w:lineRule="auto"/>
        <w:ind w:firstLine="357"/>
        <w:jc w:val="both"/>
        <w:rPr>
          <w:rFonts w:ascii="Times New Roman" w:hAnsi="Times New Roman" w:cs="Times New Roman"/>
          <w:sz w:val="20"/>
          <w:szCs w:val="20"/>
        </w:rPr>
      </w:pPr>
      <w:r w:rsidRPr="00101C13">
        <w:rPr>
          <w:rFonts w:ascii="Times New Roman" w:hAnsi="Times New Roman" w:cs="Times New Roman"/>
          <w:sz w:val="20"/>
          <w:szCs w:val="20"/>
        </w:rPr>
        <w:t xml:space="preserve">The CSA Z662.11 strain capacity equations were developed using wide plate tests with the obvious limitation of the inability to consider the effect of the internal pressure of the pipe. However, recent studies by Wang et al led to the development of a new set of equations </w:t>
      </w:r>
      <w:proofErr w:type="gramStart"/>
      <w:r w:rsidRPr="00101C13">
        <w:rPr>
          <w:rFonts w:ascii="Times New Roman" w:hAnsi="Times New Roman" w:cs="Times New Roman"/>
          <w:sz w:val="20"/>
          <w:szCs w:val="20"/>
        </w:rPr>
        <w:t>that  predict</w:t>
      </w:r>
      <w:proofErr w:type="gramEnd"/>
      <w:r w:rsidRPr="00101C13">
        <w:rPr>
          <w:rFonts w:ascii="Times New Roman" w:hAnsi="Times New Roman" w:cs="Times New Roman"/>
          <w:sz w:val="20"/>
          <w:szCs w:val="20"/>
        </w:rPr>
        <w:t xml:space="preserve"> the tensile strain capacity for pipes with an internal pressure factor of 0.72. </w:t>
      </w:r>
    </w:p>
    <w:p w:rsidR="00101C13" w:rsidRPr="00101C13" w:rsidRDefault="00101C13" w:rsidP="00CB66B1">
      <w:pPr>
        <w:spacing w:after="0" w:line="240" w:lineRule="auto"/>
        <w:ind w:firstLine="357"/>
        <w:jc w:val="both"/>
        <w:rPr>
          <w:rFonts w:ascii="Times New Roman" w:hAnsi="Times New Roman" w:cs="Times New Roman"/>
          <w:sz w:val="20"/>
          <w:szCs w:val="20"/>
        </w:rPr>
      </w:pPr>
      <w:r w:rsidRPr="00101C13">
        <w:rPr>
          <w:rFonts w:ascii="Times New Roman" w:hAnsi="Times New Roman" w:cs="Times New Roman"/>
          <w:sz w:val="20"/>
          <w:szCs w:val="20"/>
        </w:rPr>
        <w:t xml:space="preserve">This paper analyses the two critical strain equations in CSA Z662-11 to understand the effect of different girth weld flaw and pipe parameters on the expected behavior of pipes. Also the critical strain </w:t>
      </w:r>
      <w:proofErr w:type="gramStart"/>
      <w:r w:rsidRPr="00101C13">
        <w:rPr>
          <w:rFonts w:ascii="Times New Roman" w:hAnsi="Times New Roman" w:cs="Times New Roman"/>
          <w:sz w:val="20"/>
          <w:szCs w:val="20"/>
        </w:rPr>
        <w:t>equations  developed</w:t>
      </w:r>
      <w:proofErr w:type="gramEnd"/>
      <w:r w:rsidRPr="00101C13">
        <w:rPr>
          <w:rFonts w:ascii="Times New Roman" w:hAnsi="Times New Roman" w:cs="Times New Roman"/>
          <w:sz w:val="20"/>
          <w:szCs w:val="20"/>
        </w:rPr>
        <w:t xml:space="preserve"> in </w:t>
      </w:r>
      <w:r w:rsidRPr="00101C13">
        <w:rPr>
          <w:rFonts w:ascii="Times New Roman" w:hAnsi="Times New Roman" w:cs="Times New Roman"/>
          <w:sz w:val="20"/>
          <w:szCs w:val="20"/>
        </w:rPr>
        <w:fldChar w:fldCharType="begin"/>
      </w:r>
      <w:r w:rsidRPr="00101C13">
        <w:rPr>
          <w:rFonts w:ascii="Times New Roman" w:hAnsi="Times New Roman" w:cs="Times New Roman"/>
          <w:sz w:val="20"/>
          <w:szCs w:val="20"/>
        </w:rPr>
        <w:instrText xml:space="preserve"> REF PRCI \h </w:instrText>
      </w:r>
      <w:r w:rsidRPr="00101C13">
        <w:rPr>
          <w:rFonts w:ascii="Times New Roman" w:hAnsi="Times New Roman" w:cs="Times New Roman"/>
          <w:sz w:val="20"/>
          <w:szCs w:val="20"/>
        </w:rPr>
      </w:r>
      <w:r w:rsidRPr="00101C13">
        <w:rPr>
          <w:rFonts w:ascii="Times New Roman" w:hAnsi="Times New Roman" w:cs="Times New Roman"/>
          <w:sz w:val="20"/>
          <w:szCs w:val="20"/>
        </w:rPr>
        <w:instrText xml:space="preserve"> \* MERGEFORMAT </w:instrText>
      </w:r>
      <w:r w:rsidRPr="00101C13">
        <w:rPr>
          <w:rFonts w:ascii="Times New Roman" w:hAnsi="Times New Roman" w:cs="Times New Roman"/>
          <w:sz w:val="20"/>
          <w:szCs w:val="20"/>
        </w:rPr>
        <w:fldChar w:fldCharType="separate"/>
      </w:r>
      <w:r w:rsidRPr="00101C13">
        <w:rPr>
          <w:rFonts w:ascii="Times New Roman" w:hAnsi="Times New Roman" w:cs="Times New Roman"/>
          <w:sz w:val="20"/>
          <w:szCs w:val="20"/>
        </w:rPr>
        <w:t>[2]</w:t>
      </w:r>
      <w:r w:rsidRPr="00101C13">
        <w:rPr>
          <w:rFonts w:ascii="Times New Roman" w:hAnsi="Times New Roman" w:cs="Times New Roman"/>
          <w:sz w:val="20"/>
          <w:szCs w:val="20"/>
        </w:rPr>
        <w:fldChar w:fldCharType="end"/>
      </w:r>
      <w:r w:rsidRPr="00101C13">
        <w:rPr>
          <w:rFonts w:ascii="Times New Roman" w:hAnsi="Times New Roman" w:cs="Times New Roman"/>
          <w:sz w:val="20"/>
          <w:szCs w:val="20"/>
        </w:rPr>
        <w:t xml:space="preserve">have been analysed and compared to the equations in CSA Z662-11. Using the equations in CSA Z662-11, </w:t>
      </w:r>
      <w:proofErr w:type="gramStart"/>
      <w:r w:rsidRPr="00101C13">
        <w:rPr>
          <w:rFonts w:ascii="Times New Roman" w:hAnsi="Times New Roman" w:cs="Times New Roman"/>
          <w:sz w:val="20"/>
          <w:szCs w:val="20"/>
        </w:rPr>
        <w:t xml:space="preserve">a </w:t>
      </w:r>
      <m:oMath>
        <m:sSup>
          <m:sSupPr>
            <m:ctrlPr>
              <w:rPr>
                <w:rFonts w:ascii="Cambria Math" w:hAnsi="Cambria Math" w:cs="Times New Roman"/>
                <w:i/>
                <w:kern w:val="14"/>
                <w:sz w:val="20"/>
                <w:szCs w:val="20"/>
                <w:lang w:val="en-US"/>
              </w:rPr>
            </m:ctrlPr>
          </m:sSupPr>
          <m:e>
            <m:r>
              <w:rPr>
                <w:rFonts w:ascii="Cambria Math" w:hAnsi="Cambria Math" w:cs="Times New Roman"/>
                <w:sz w:val="20"/>
                <w:szCs w:val="20"/>
              </w:rPr>
              <m:t>3</m:t>
            </m:r>
          </m:e>
          <m:sup>
            <m:r>
              <w:rPr>
                <w:rFonts w:ascii="Cambria Math" w:hAnsi="Cambria Math" w:cs="Times New Roman"/>
                <w:sz w:val="20"/>
                <w:szCs w:val="20"/>
              </w:rPr>
              <m:t>4</m:t>
            </m:r>
          </m:sup>
        </m:sSup>
      </m:oMath>
      <w:r w:rsidRPr="00101C13">
        <w:rPr>
          <w:rFonts w:ascii="Times New Roman" w:hAnsi="Times New Roman" w:cs="Times New Roman"/>
          <w:sz w:val="20"/>
          <w:szCs w:val="20"/>
        </w:rPr>
        <w:t xml:space="preserve"> and</w:t>
      </w:r>
      <w:proofErr w:type="gramEnd"/>
      <w:r w:rsidRPr="00101C13">
        <w:rPr>
          <w:rFonts w:ascii="Times New Roman" w:hAnsi="Times New Roman" w:cs="Times New Roman"/>
          <w:sz w:val="20"/>
          <w:szCs w:val="20"/>
        </w:rPr>
        <w:t xml:space="preserve"> </w:t>
      </w:r>
      <m:oMath>
        <m:sSup>
          <m:sSupPr>
            <m:ctrlPr>
              <w:rPr>
                <w:rFonts w:ascii="Cambria Math" w:hAnsi="Cambria Math" w:cs="Times New Roman"/>
                <w:i/>
                <w:kern w:val="14"/>
                <w:sz w:val="20"/>
                <w:szCs w:val="20"/>
                <w:lang w:val="en-US"/>
              </w:rPr>
            </m:ctrlPr>
          </m:sSupPr>
          <m:e>
            <m:r>
              <w:rPr>
                <w:rFonts w:ascii="Cambria Math" w:hAnsi="Cambria Math" w:cs="Times New Roman"/>
                <w:sz w:val="20"/>
                <w:szCs w:val="20"/>
              </w:rPr>
              <m:t>3</m:t>
            </m:r>
          </m:e>
          <m:sup>
            <m:r>
              <w:rPr>
                <w:rFonts w:ascii="Cambria Math" w:hAnsi="Cambria Math" w:cs="Times New Roman"/>
                <w:sz w:val="20"/>
                <w:szCs w:val="20"/>
              </w:rPr>
              <m:t>6</m:t>
            </m:r>
          </m:sup>
        </m:sSup>
      </m:oMath>
      <w:r w:rsidRPr="00101C13">
        <w:rPr>
          <w:rFonts w:ascii="Times New Roman" w:hAnsi="Times New Roman" w:cs="Times New Roman"/>
          <w:sz w:val="20"/>
          <w:szCs w:val="20"/>
        </w:rPr>
        <w:t xml:space="preserve"> full factorial experimental design was conducted for the planar surface-breaking defect and the planar buried defect respectively. For the case of surface breaking defects the dependence of the tensile strain capacity ( </w:t>
      </w: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ε</m:t>
            </m:r>
          </m:e>
          <m:sub>
            <m:r>
              <w:rPr>
                <w:rFonts w:ascii="Cambria Math" w:hAnsi="Cambria Math" w:cs="Times New Roman"/>
                <w:sz w:val="20"/>
                <w:szCs w:val="20"/>
              </w:rPr>
              <m:t>t</m:t>
            </m:r>
          </m:sub>
          <m:sup>
            <m:r>
              <w:rPr>
                <w:rFonts w:ascii="Cambria Math" w:hAnsi="Cambria Math" w:cs="Times New Roman"/>
                <w:sz w:val="20"/>
                <w:szCs w:val="20"/>
              </w:rPr>
              <m:t>crit</m:t>
            </m:r>
          </m:sup>
        </m:sSubSup>
      </m:oMath>
      <w:r w:rsidRPr="00101C13">
        <w:rPr>
          <w:rFonts w:ascii="Times New Roman" w:hAnsi="Times New Roman" w:cs="Times New Roman"/>
          <w:sz w:val="20"/>
          <w:szCs w:val="20"/>
        </w:rPr>
        <w:t xml:space="preserve"> ) on apparent CTOD toug</w:t>
      </w:r>
      <w:proofErr w:type="spellStart"/>
      <w:r w:rsidRPr="00101C13">
        <w:rPr>
          <w:rFonts w:ascii="Times New Roman" w:hAnsi="Times New Roman" w:cs="Times New Roman"/>
          <w:sz w:val="20"/>
          <w:szCs w:val="20"/>
        </w:rPr>
        <w:t>hness</w:t>
      </w:r>
      <w:proofErr w:type="spellEnd"/>
      <w:r w:rsidRPr="00101C13">
        <w:rPr>
          <w:rFonts w:ascii="Times New Roman" w:hAnsi="Times New Roman" w:cs="Times New Roman"/>
          <w:sz w:val="20"/>
          <w:szCs w:val="20"/>
        </w:rPr>
        <w:t xml:space="preserve"> (</w:t>
      </w:r>
      <m:oMath>
        <m:r>
          <w:rPr>
            <w:rFonts w:ascii="Cambria Math" w:hAnsi="Cambria Math" w:cs="Times New Roman"/>
            <w:sz w:val="20"/>
            <w:szCs w:val="20"/>
          </w:rPr>
          <m:t>δ</m:t>
        </m:r>
      </m:oMath>
      <w:r w:rsidRPr="00101C13">
        <w:rPr>
          <w:rFonts w:ascii="Times New Roman" w:hAnsi="Times New Roman" w:cs="Times New Roman"/>
          <w:sz w:val="20"/>
          <w:szCs w:val="20"/>
        </w:rPr>
        <w:t>), ratio of defect height to pipe wall thickness (</w:t>
      </w:r>
      <m:oMath>
        <m:r>
          <w:rPr>
            <w:rFonts w:ascii="Cambria Math" w:hAnsi="Cambria Math" w:cs="Times New Roman"/>
            <w:sz w:val="20"/>
            <w:szCs w:val="20"/>
          </w:rPr>
          <m:t>η</m:t>
        </m:r>
      </m:oMath>
      <w:r w:rsidRPr="00101C13">
        <w:rPr>
          <w:rFonts w:ascii="Times New Roman" w:hAnsi="Times New Roman" w:cs="Times New Roman"/>
          <w:sz w:val="20"/>
          <w:szCs w:val="20"/>
        </w:rPr>
        <w:t>), ratio of yield strength to tensile strength (</w:t>
      </w:r>
      <m:oMath>
        <m:r>
          <w:rPr>
            <w:rFonts w:ascii="Cambria Math" w:hAnsi="Cambria Math" w:cs="Times New Roman"/>
            <w:sz w:val="20"/>
            <w:szCs w:val="20"/>
          </w:rPr>
          <m:t>λ</m:t>
        </m:r>
      </m:oMath>
      <w:r w:rsidRPr="00101C13">
        <w:rPr>
          <w:rFonts w:ascii="Times New Roman" w:hAnsi="Times New Roman" w:cs="Times New Roman"/>
          <w:sz w:val="20"/>
          <w:szCs w:val="20"/>
        </w:rPr>
        <w:t>) and the ratio of defect length to pipe wall thickness (</w:t>
      </w:r>
      <m:oMath>
        <m:r>
          <w:rPr>
            <w:rFonts w:ascii="Cambria Math" w:hAnsi="Cambria Math" w:cs="Times New Roman"/>
            <w:sz w:val="20"/>
            <w:szCs w:val="20"/>
          </w:rPr>
          <m:t>ξ</m:t>
        </m:r>
      </m:oMath>
      <w:r w:rsidRPr="00101C13">
        <w:rPr>
          <w:rFonts w:ascii="Times New Roman" w:hAnsi="Times New Roman" w:cs="Times New Roman"/>
          <w:sz w:val="20"/>
          <w:szCs w:val="20"/>
        </w:rPr>
        <w:t xml:space="preserve">) has been studied. </w:t>
      </w: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ε</m:t>
            </m:r>
          </m:e>
          <m:sub>
            <m:r>
              <w:rPr>
                <w:rFonts w:ascii="Cambria Math" w:hAnsi="Cambria Math" w:cs="Times New Roman"/>
                <w:sz w:val="20"/>
                <w:szCs w:val="20"/>
              </w:rPr>
              <m:t>t</m:t>
            </m:r>
          </m:sub>
          <m:sup>
            <m:r>
              <w:rPr>
                <w:rFonts w:ascii="Cambria Math" w:hAnsi="Cambria Math" w:cs="Times New Roman"/>
                <w:sz w:val="20"/>
                <w:szCs w:val="20"/>
              </w:rPr>
              <m:t>crit</m:t>
            </m:r>
          </m:sup>
        </m:sSubSup>
      </m:oMath>
      <w:r w:rsidRPr="00101C13">
        <w:rPr>
          <w:rFonts w:ascii="Times New Roman" w:hAnsi="Times New Roman" w:cs="Times New Roman"/>
          <w:sz w:val="20"/>
          <w:szCs w:val="20"/>
        </w:rPr>
        <w:t xml:space="preserve"> </w:t>
      </w:r>
      <w:proofErr w:type="gramStart"/>
      <w:r w:rsidRPr="00101C13">
        <w:rPr>
          <w:rFonts w:ascii="Times New Roman" w:hAnsi="Times New Roman" w:cs="Times New Roman"/>
          <w:sz w:val="20"/>
          <w:szCs w:val="20"/>
        </w:rPr>
        <w:t>has</w:t>
      </w:r>
      <w:proofErr w:type="gramEnd"/>
      <w:r w:rsidRPr="00101C13">
        <w:rPr>
          <w:rFonts w:ascii="Times New Roman" w:hAnsi="Times New Roman" w:cs="Times New Roman"/>
          <w:sz w:val="20"/>
          <w:szCs w:val="20"/>
        </w:rPr>
        <w:t xml:space="preserve"> been evaluated at the maximum, minimum and intermediate values of each parameter according to the allowable ranges given in the code which resulted in the evaluation of </w:t>
      </w: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ε</m:t>
            </m:r>
          </m:e>
          <m:sub>
            <m:r>
              <w:rPr>
                <w:rFonts w:ascii="Cambria Math" w:hAnsi="Cambria Math" w:cs="Times New Roman"/>
                <w:sz w:val="20"/>
                <w:szCs w:val="20"/>
              </w:rPr>
              <m:t>t</m:t>
            </m:r>
          </m:sub>
          <m:sup>
            <m:r>
              <w:rPr>
                <w:rFonts w:ascii="Cambria Math" w:hAnsi="Cambria Math" w:cs="Times New Roman"/>
                <w:sz w:val="20"/>
                <w:szCs w:val="20"/>
              </w:rPr>
              <m:t>crit</m:t>
            </m:r>
          </m:sup>
        </m:sSubSup>
      </m:oMath>
      <w:r w:rsidRPr="00101C13">
        <w:rPr>
          <w:rFonts w:ascii="Times New Roman" w:hAnsi="Times New Roman" w:cs="Times New Roman"/>
          <w:sz w:val="20"/>
          <w:szCs w:val="20"/>
        </w:rPr>
        <w:t xml:space="preserve"> for 81 different combinations of the parameters. The average value of </w:t>
      </w: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ε</m:t>
            </m:r>
          </m:e>
          <m:sub>
            <m:r>
              <w:rPr>
                <w:rFonts w:ascii="Cambria Math" w:hAnsi="Cambria Math" w:cs="Times New Roman"/>
                <w:sz w:val="20"/>
                <w:szCs w:val="20"/>
              </w:rPr>
              <m:t>t</m:t>
            </m:r>
          </m:sub>
          <m:sup>
            <m:r>
              <w:rPr>
                <w:rFonts w:ascii="Cambria Math" w:hAnsi="Cambria Math" w:cs="Times New Roman"/>
                <w:sz w:val="20"/>
                <w:szCs w:val="20"/>
              </w:rPr>
              <m:t>crit</m:t>
            </m:r>
          </m:sup>
        </m:sSubSup>
      </m:oMath>
      <w:r w:rsidRPr="00101C13">
        <w:rPr>
          <w:rFonts w:ascii="Times New Roman" w:hAnsi="Times New Roman" w:cs="Times New Roman"/>
          <w:sz w:val="20"/>
          <w:szCs w:val="20"/>
          <w:vertAlign w:val="superscript"/>
        </w:rPr>
        <w:t xml:space="preserve">  </w:t>
      </w:r>
      <w:r w:rsidRPr="00101C13">
        <w:rPr>
          <w:rFonts w:ascii="Times New Roman" w:hAnsi="Times New Roman" w:cs="Times New Roman"/>
          <w:sz w:val="20"/>
          <w:szCs w:val="20"/>
        </w:rPr>
        <w:t xml:space="preserve">at the maximum, minimum and middle value of each parameter has been calculated. The visualization of the results showed </w:t>
      </w:r>
      <w:proofErr w:type="gramStart"/>
      <w:r w:rsidRPr="00101C13">
        <w:rPr>
          <w:rFonts w:ascii="Times New Roman" w:hAnsi="Times New Roman" w:cs="Times New Roman"/>
          <w:sz w:val="20"/>
          <w:szCs w:val="20"/>
        </w:rPr>
        <w:t xml:space="preserve">that  </w:t>
      </w:r>
      <w:proofErr w:type="gramEnd"/>
      <m:oMath>
        <m:r>
          <w:rPr>
            <w:rFonts w:ascii="Cambria Math" w:hAnsi="Cambria Math" w:cs="Times New Roman"/>
            <w:sz w:val="20"/>
            <w:szCs w:val="20"/>
          </w:rPr>
          <m:t>η</m:t>
        </m:r>
      </m:oMath>
      <w:r w:rsidRPr="00101C13">
        <w:rPr>
          <w:rFonts w:ascii="Times New Roman" w:hAnsi="Times New Roman" w:cs="Times New Roman"/>
          <w:sz w:val="20"/>
          <w:szCs w:val="20"/>
        </w:rPr>
        <w:t xml:space="preserve">, </w:t>
      </w:r>
      <m:oMath>
        <m:r>
          <w:rPr>
            <w:rFonts w:ascii="Cambria Math" w:hAnsi="Cambria Math" w:cs="Times New Roman"/>
            <w:sz w:val="20"/>
            <w:szCs w:val="20"/>
          </w:rPr>
          <m:t>δ</m:t>
        </m:r>
      </m:oMath>
      <w:r w:rsidRPr="00101C13">
        <w:rPr>
          <w:rFonts w:ascii="Times New Roman" w:hAnsi="Times New Roman" w:cs="Times New Roman"/>
          <w:sz w:val="20"/>
          <w:szCs w:val="20"/>
        </w:rPr>
        <w:t xml:space="preserve"> and </w:t>
      </w:r>
      <m:oMath>
        <m:r>
          <w:rPr>
            <w:rFonts w:ascii="Cambria Math" w:hAnsi="Cambria Math" w:cs="Times New Roman"/>
            <w:sz w:val="20"/>
            <w:szCs w:val="20"/>
          </w:rPr>
          <m:t>ξ</m:t>
        </m:r>
      </m:oMath>
      <w:r w:rsidRPr="00101C13">
        <w:rPr>
          <w:rFonts w:ascii="Times New Roman" w:hAnsi="Times New Roman" w:cs="Times New Roman"/>
          <w:sz w:val="20"/>
          <w:szCs w:val="20"/>
        </w:rPr>
        <w:t xml:space="preserve"> have the most significant effect on </w:t>
      </w: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ε</m:t>
            </m:r>
          </m:e>
          <m:sub>
            <m:r>
              <w:rPr>
                <w:rFonts w:ascii="Cambria Math" w:hAnsi="Cambria Math" w:cs="Times New Roman"/>
                <w:sz w:val="20"/>
                <w:szCs w:val="20"/>
              </w:rPr>
              <m:t>t</m:t>
            </m:r>
          </m:sub>
          <m:sup>
            <m:r>
              <w:rPr>
                <w:rFonts w:ascii="Cambria Math" w:hAnsi="Cambria Math" w:cs="Times New Roman"/>
                <w:sz w:val="20"/>
                <w:szCs w:val="20"/>
              </w:rPr>
              <m:t>crit</m:t>
            </m:r>
          </m:sup>
        </m:sSubSup>
      </m:oMath>
      <w:r w:rsidRPr="00101C13">
        <w:rPr>
          <w:rFonts w:ascii="Times New Roman" w:hAnsi="Times New Roman" w:cs="Times New Roman"/>
          <w:sz w:val="20"/>
          <w:szCs w:val="20"/>
        </w:rPr>
        <w:t xml:space="preserve"> among the four parameters for the case of surface breaking defect. </w:t>
      </w:r>
    </w:p>
    <w:p w:rsidR="00101C13" w:rsidRPr="00CB66B1" w:rsidRDefault="00101C13" w:rsidP="00CB66B1">
      <w:pPr>
        <w:spacing w:after="0" w:line="240" w:lineRule="auto"/>
        <w:ind w:firstLine="357"/>
        <w:jc w:val="both"/>
        <w:rPr>
          <w:rFonts w:ascii="Times New Roman" w:hAnsi="Times New Roman" w:cs="Times New Roman"/>
          <w:sz w:val="20"/>
          <w:szCs w:val="20"/>
        </w:rPr>
      </w:pPr>
      <w:r w:rsidRPr="00101C13">
        <w:rPr>
          <w:rFonts w:ascii="Times New Roman" w:hAnsi="Times New Roman" w:cs="Times New Roman"/>
          <w:sz w:val="20"/>
          <w:szCs w:val="20"/>
        </w:rPr>
        <w:t xml:space="preserve">Similarly for buried defects the dependence of </w:t>
      </w: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ε</m:t>
            </m:r>
          </m:e>
          <m:sub>
            <m:r>
              <w:rPr>
                <w:rFonts w:ascii="Cambria Math" w:hAnsi="Cambria Math" w:cs="Times New Roman"/>
                <w:sz w:val="20"/>
                <w:szCs w:val="20"/>
              </w:rPr>
              <m:t>t</m:t>
            </m:r>
          </m:sub>
          <m:sup>
            <m:r>
              <w:rPr>
                <w:rFonts w:ascii="Cambria Math" w:hAnsi="Cambria Math" w:cs="Times New Roman"/>
                <w:sz w:val="20"/>
                <w:szCs w:val="20"/>
              </w:rPr>
              <m:t>crit</m:t>
            </m:r>
          </m:sup>
        </m:sSubSup>
      </m:oMath>
      <w:r w:rsidRPr="00101C13">
        <w:rPr>
          <w:rFonts w:ascii="Times New Roman" w:hAnsi="Times New Roman" w:cs="Times New Roman"/>
          <w:sz w:val="20"/>
          <w:szCs w:val="20"/>
        </w:rPr>
        <w:t xml:space="preserve"> </w:t>
      </w:r>
      <w:proofErr w:type="gramStart"/>
      <w:r w:rsidRPr="00101C13">
        <w:rPr>
          <w:rFonts w:ascii="Times New Roman" w:hAnsi="Times New Roman" w:cs="Times New Roman"/>
          <w:sz w:val="20"/>
          <w:szCs w:val="20"/>
        </w:rPr>
        <w:t xml:space="preserve">on </w:t>
      </w:r>
      <w:proofErr w:type="gramEnd"/>
      <m:oMath>
        <m:r>
          <w:rPr>
            <w:rFonts w:ascii="Cambria Math" w:hAnsi="Cambria Math" w:cs="Times New Roman"/>
            <w:sz w:val="20"/>
            <w:szCs w:val="20"/>
          </w:rPr>
          <m:t>δ</m:t>
        </m:r>
      </m:oMath>
      <w:r w:rsidRPr="00101C13">
        <w:rPr>
          <w:rFonts w:ascii="Times New Roman" w:hAnsi="Times New Roman" w:cs="Times New Roman"/>
          <w:sz w:val="20"/>
          <w:szCs w:val="20"/>
        </w:rPr>
        <w:t xml:space="preserve">, </w:t>
      </w:r>
      <m:oMath>
        <m:r>
          <w:rPr>
            <w:rFonts w:ascii="Cambria Math" w:hAnsi="Cambria Math" w:cs="Times New Roman"/>
            <w:sz w:val="20"/>
            <w:szCs w:val="20"/>
          </w:rPr>
          <m:t>η</m:t>
        </m:r>
      </m:oMath>
      <w:r w:rsidRPr="00101C13">
        <w:rPr>
          <w:rFonts w:ascii="Times New Roman" w:hAnsi="Times New Roman" w:cs="Times New Roman"/>
          <w:sz w:val="20"/>
          <w:szCs w:val="20"/>
        </w:rPr>
        <w:t xml:space="preserve">, </w:t>
      </w:r>
      <m:oMath>
        <m:r>
          <w:rPr>
            <w:rFonts w:ascii="Cambria Math" w:hAnsi="Cambria Math" w:cs="Times New Roman"/>
            <w:sz w:val="20"/>
            <w:szCs w:val="20"/>
          </w:rPr>
          <m:t>λ</m:t>
        </m:r>
      </m:oMath>
      <w:r w:rsidRPr="00101C13">
        <w:rPr>
          <w:rFonts w:ascii="Times New Roman" w:hAnsi="Times New Roman" w:cs="Times New Roman"/>
          <w:sz w:val="20"/>
          <w:szCs w:val="20"/>
        </w:rPr>
        <w:t xml:space="preserve">, </w:t>
      </w:r>
      <m:oMath>
        <m:r>
          <w:rPr>
            <w:rFonts w:ascii="Cambria Math" w:hAnsi="Cambria Math" w:cs="Times New Roman"/>
            <w:sz w:val="20"/>
            <w:szCs w:val="20"/>
          </w:rPr>
          <m:t>ξ</m:t>
        </m:r>
      </m:oMath>
      <w:r w:rsidRPr="00101C13">
        <w:rPr>
          <w:rFonts w:ascii="Times New Roman" w:hAnsi="Times New Roman" w:cs="Times New Roman"/>
          <w:sz w:val="20"/>
          <w:szCs w:val="20"/>
        </w:rPr>
        <w:t>, and the pipe wall thickness (</w:t>
      </w:r>
      <m:oMath>
        <m:r>
          <w:rPr>
            <w:rFonts w:ascii="Cambria Math" w:hAnsi="Cambria Math" w:cs="Times New Roman"/>
            <w:sz w:val="20"/>
            <w:szCs w:val="20"/>
          </w:rPr>
          <m:t>t</m:t>
        </m:r>
      </m:oMath>
      <w:r w:rsidRPr="00101C13">
        <w:rPr>
          <w:rFonts w:ascii="Times New Roman" w:hAnsi="Times New Roman" w:cs="Times New Roman"/>
          <w:sz w:val="20"/>
          <w:szCs w:val="20"/>
        </w:rPr>
        <w:t xml:space="preserve">) has been studied. The evaluation of </w:t>
      </w: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ε</m:t>
            </m:r>
          </m:e>
          <m:sub>
            <m:r>
              <w:rPr>
                <w:rFonts w:ascii="Cambria Math" w:hAnsi="Cambria Math" w:cs="Times New Roman"/>
                <w:sz w:val="20"/>
                <w:szCs w:val="20"/>
              </w:rPr>
              <m:t>t</m:t>
            </m:r>
          </m:sub>
          <m:sup>
            <m:r>
              <w:rPr>
                <w:rFonts w:ascii="Cambria Math" w:hAnsi="Cambria Math" w:cs="Times New Roman"/>
                <w:sz w:val="20"/>
                <w:szCs w:val="20"/>
              </w:rPr>
              <m:t>crit</m:t>
            </m:r>
          </m:sup>
        </m:sSubSup>
      </m:oMath>
      <w:r w:rsidRPr="00101C13">
        <w:rPr>
          <w:rFonts w:ascii="Times New Roman" w:hAnsi="Times New Roman" w:cs="Times New Roman"/>
          <w:sz w:val="20"/>
          <w:szCs w:val="20"/>
        </w:rPr>
        <w:t xml:space="preserve"> for all possible combinations of the maximum, intermediate and minimum values of the 6 parameters resulted in </w:t>
      </w: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ε</m:t>
            </m:r>
          </m:e>
          <m:sub>
            <m:r>
              <w:rPr>
                <w:rFonts w:ascii="Cambria Math" w:hAnsi="Cambria Math" w:cs="Times New Roman"/>
                <w:sz w:val="20"/>
                <w:szCs w:val="20"/>
              </w:rPr>
              <m:t>t</m:t>
            </m:r>
          </m:sub>
          <m:sup>
            <m:r>
              <w:rPr>
                <w:rFonts w:ascii="Cambria Math" w:hAnsi="Cambria Math" w:cs="Times New Roman"/>
                <w:sz w:val="20"/>
                <w:szCs w:val="20"/>
              </w:rPr>
              <m:t>crit</m:t>
            </m:r>
          </m:sup>
        </m:sSubSup>
      </m:oMath>
      <w:r w:rsidRPr="00101C13">
        <w:rPr>
          <w:rFonts w:ascii="Times New Roman" w:hAnsi="Times New Roman" w:cs="Times New Roman"/>
          <w:sz w:val="20"/>
          <w:szCs w:val="20"/>
        </w:rPr>
        <w:t xml:space="preserve"> values for 729 different combinations. </w:t>
      </w:r>
      <w:r w:rsidRPr="00CB66B1">
        <w:rPr>
          <w:rFonts w:ascii="Times New Roman" w:hAnsi="Times New Roman" w:cs="Times New Roman"/>
          <w:sz w:val="20"/>
          <w:szCs w:val="20"/>
        </w:rPr>
        <w:t xml:space="preserve">The variation of the average </w:t>
      </w: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ε</m:t>
            </m:r>
          </m:e>
          <m:sub>
            <m:r>
              <w:rPr>
                <w:rFonts w:ascii="Cambria Math" w:hAnsi="Cambria Math" w:cs="Times New Roman"/>
                <w:sz w:val="20"/>
                <w:szCs w:val="20"/>
              </w:rPr>
              <m:t>t</m:t>
            </m:r>
          </m:sub>
          <m:sup>
            <m:r>
              <w:rPr>
                <w:rFonts w:ascii="Cambria Math" w:hAnsi="Cambria Math" w:cs="Times New Roman"/>
                <w:sz w:val="20"/>
                <w:szCs w:val="20"/>
              </w:rPr>
              <m:t>crit</m:t>
            </m:r>
          </m:sup>
        </m:sSubSup>
      </m:oMath>
      <w:r w:rsidRPr="00CB66B1">
        <w:rPr>
          <w:rFonts w:ascii="Times New Roman" w:hAnsi="Times New Roman" w:cs="Times New Roman"/>
          <w:sz w:val="20"/>
          <w:szCs w:val="20"/>
        </w:rPr>
        <w:t xml:space="preserve"> over the maximum, intermediate and minimum values of the parameters showed </w:t>
      </w:r>
      <w:proofErr w:type="gramStart"/>
      <w:r w:rsidRPr="00CB66B1">
        <w:rPr>
          <w:rFonts w:ascii="Times New Roman" w:hAnsi="Times New Roman" w:cs="Times New Roman"/>
          <w:sz w:val="20"/>
          <w:szCs w:val="20"/>
        </w:rPr>
        <w:t xml:space="preserve">that </w:t>
      </w:r>
      <w:proofErr w:type="gramEnd"/>
      <m:oMath>
        <m:r>
          <w:rPr>
            <w:rFonts w:ascii="Cambria Math" w:hAnsi="Cambria Math" w:cs="Times New Roman"/>
            <w:sz w:val="20"/>
            <w:szCs w:val="20"/>
          </w:rPr>
          <w:lastRenderedPageBreak/>
          <m:t>δ</m:t>
        </m:r>
      </m:oMath>
      <w:r w:rsidRPr="00CB66B1">
        <w:rPr>
          <w:rFonts w:ascii="Times New Roman" w:hAnsi="Times New Roman" w:cs="Times New Roman"/>
          <w:sz w:val="20"/>
          <w:szCs w:val="20"/>
        </w:rPr>
        <w:t xml:space="preserve">, </w:t>
      </w:r>
      <m:oMath>
        <m:r>
          <w:rPr>
            <w:rFonts w:ascii="Cambria Math" w:hAnsi="Cambria Math" w:cs="Times New Roman"/>
            <w:sz w:val="20"/>
            <w:szCs w:val="20"/>
          </w:rPr>
          <m:t>ψ</m:t>
        </m:r>
      </m:oMath>
      <w:r w:rsidRPr="00CB66B1">
        <w:rPr>
          <w:rFonts w:ascii="Times New Roman" w:hAnsi="Times New Roman" w:cs="Times New Roman"/>
          <w:sz w:val="20"/>
          <w:szCs w:val="20"/>
        </w:rPr>
        <w:t xml:space="preserve">, </w:t>
      </w:r>
      <m:oMath>
        <m:r>
          <w:rPr>
            <w:rFonts w:ascii="Cambria Math" w:hAnsi="Cambria Math" w:cs="Times New Roman"/>
            <w:sz w:val="20"/>
            <w:szCs w:val="20"/>
          </w:rPr>
          <m:t>ξ</m:t>
        </m:r>
      </m:oMath>
      <w:r w:rsidRPr="00CB66B1">
        <w:rPr>
          <w:rFonts w:ascii="Times New Roman" w:hAnsi="Times New Roman" w:cs="Times New Roman"/>
          <w:sz w:val="20"/>
          <w:szCs w:val="20"/>
        </w:rPr>
        <w:t xml:space="preserve"> and </w:t>
      </w:r>
      <m:oMath>
        <m:r>
          <w:rPr>
            <w:rFonts w:ascii="Cambria Math" w:hAnsi="Cambria Math" w:cs="Times New Roman"/>
            <w:sz w:val="20"/>
            <w:szCs w:val="20"/>
          </w:rPr>
          <m:t>η</m:t>
        </m:r>
      </m:oMath>
      <w:r w:rsidRPr="00CB66B1">
        <w:rPr>
          <w:rFonts w:ascii="Times New Roman" w:hAnsi="Times New Roman" w:cs="Times New Roman"/>
          <w:sz w:val="20"/>
          <w:szCs w:val="20"/>
        </w:rPr>
        <w:t xml:space="preserve"> are the parameters having the greatest effect on </w:t>
      </w: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ε</m:t>
            </m:r>
          </m:e>
          <m:sub>
            <m:r>
              <w:rPr>
                <w:rFonts w:ascii="Cambria Math" w:hAnsi="Cambria Math" w:cs="Times New Roman"/>
                <w:sz w:val="20"/>
                <w:szCs w:val="20"/>
              </w:rPr>
              <m:t>t</m:t>
            </m:r>
          </m:sub>
          <m:sup>
            <m:r>
              <w:rPr>
                <w:rFonts w:ascii="Cambria Math" w:hAnsi="Cambria Math" w:cs="Times New Roman"/>
                <w:sz w:val="20"/>
                <w:szCs w:val="20"/>
              </w:rPr>
              <m:t>crit</m:t>
            </m:r>
          </m:sup>
        </m:sSubSup>
      </m:oMath>
      <w:r w:rsidRPr="00CB66B1">
        <w:rPr>
          <w:rFonts w:ascii="Times New Roman" w:hAnsi="Times New Roman" w:cs="Times New Roman"/>
          <w:sz w:val="20"/>
          <w:szCs w:val="20"/>
        </w:rPr>
        <w:t xml:space="preserve"> for the case of a buried defect.</w:t>
      </w:r>
    </w:p>
    <w:p w:rsidR="00101C13" w:rsidRPr="00CB66B1" w:rsidRDefault="00101C13" w:rsidP="00CB66B1">
      <w:pPr>
        <w:spacing w:after="0" w:line="240" w:lineRule="auto"/>
        <w:ind w:firstLine="357"/>
        <w:rPr>
          <w:rFonts w:ascii="Times New Roman" w:hAnsi="Times New Roman" w:cs="Times New Roman"/>
          <w:sz w:val="20"/>
          <w:szCs w:val="20"/>
        </w:rPr>
      </w:pPr>
      <w:r w:rsidRPr="00CB66B1">
        <w:rPr>
          <w:rFonts w:ascii="Times New Roman" w:hAnsi="Times New Roman" w:cs="Times New Roman"/>
          <w:sz w:val="20"/>
          <w:szCs w:val="20"/>
        </w:rPr>
        <w:t>Further investigations could be carried out to determine suitable upper and lower bounds for the parameters for which no bounded range is d</w:t>
      </w:r>
      <w:r w:rsidR="00CB66B1">
        <w:rPr>
          <w:rFonts w:ascii="Times New Roman" w:hAnsi="Times New Roman" w:cs="Times New Roman"/>
          <w:sz w:val="20"/>
          <w:szCs w:val="20"/>
        </w:rPr>
        <w:t>efined in the CSA Z662-11 code.</w:t>
      </w:r>
    </w:p>
    <w:p w:rsidR="00101C13" w:rsidRDefault="00101C13" w:rsidP="00101C13">
      <w:pPr>
        <w:pStyle w:val="NomenclatureClauseTitle"/>
      </w:pPr>
      <w:r>
        <w:t>Nomenclature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9"/>
        <w:gridCol w:w="3227"/>
      </w:tblGrid>
      <w:tr w:rsidR="00101C13" w:rsidRPr="00CB66B1" w:rsidTr="00101C13">
        <w:tc>
          <w:tcPr>
            <w:tcW w:w="1516" w:type="dxa"/>
            <w:tcBorders>
              <w:top w:val="single" w:sz="4" w:space="0" w:color="auto"/>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ε</m:t>
                    </m:r>
                  </m:e>
                  <m:sub>
                    <m:r>
                      <w:rPr>
                        <w:rFonts w:ascii="Cambria Math" w:hAnsi="Cambria Math" w:cs="Times New Roman"/>
                        <w:sz w:val="20"/>
                        <w:szCs w:val="20"/>
                      </w:rPr>
                      <m:t>t</m:t>
                    </m:r>
                  </m:sub>
                  <m:sup>
                    <m:r>
                      <w:rPr>
                        <w:rFonts w:ascii="Cambria Math" w:hAnsi="Cambria Math" w:cs="Times New Roman"/>
                        <w:sz w:val="20"/>
                        <w:szCs w:val="20"/>
                      </w:rPr>
                      <m:t>crit</m:t>
                    </m:r>
                  </m:sup>
                </m:sSubSup>
              </m:oMath>
            </m:oMathPara>
          </w:p>
        </w:tc>
        <w:tc>
          <w:tcPr>
            <w:tcW w:w="3830" w:type="dxa"/>
            <w:tcBorders>
              <w:top w:val="single" w:sz="4" w:space="0" w:color="auto"/>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Tensile strain capacity</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r>
                  <w:rPr>
                    <w:rFonts w:ascii="Cambria Math" w:hAnsi="Cambria Math" w:cs="Times New Roman"/>
                    <w:sz w:val="20"/>
                    <w:szCs w:val="20"/>
                  </w:rPr>
                  <m:t>δ</m:t>
                </m:r>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Apparent crack-tip opening displacement (CTOD) toughness [mm]</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r>
                  <w:rPr>
                    <w:rFonts w:ascii="Cambria Math" w:hAnsi="Cambria Math" w:cs="Times New Roman"/>
                    <w:sz w:val="20"/>
                    <w:szCs w:val="20"/>
                  </w:rPr>
                  <m:t>η</m:t>
                </m:r>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Ratio of defe</w:t>
            </w:r>
            <w:bookmarkStart w:id="3" w:name="_GoBack"/>
            <w:bookmarkEnd w:id="3"/>
            <w:r w:rsidRPr="00814896">
              <w:rPr>
                <w:rFonts w:ascii="Times New Roman" w:hAnsi="Times New Roman" w:cs="Times New Roman"/>
                <w:sz w:val="20"/>
                <w:szCs w:val="20"/>
              </w:rPr>
              <w:t>ct height to pipe wall thickness</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r>
                  <w:rPr>
                    <w:rFonts w:ascii="Cambria Math" w:hAnsi="Cambria Math" w:cs="Times New Roman"/>
                    <w:sz w:val="20"/>
                    <w:szCs w:val="20"/>
                  </w:rPr>
                  <m:t>λ</m:t>
                </m:r>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Ratio of yield strength to tensile strength (Y/T)</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r>
                  <w:rPr>
                    <w:rFonts w:ascii="Cambria Math" w:hAnsi="Cambria Math" w:cs="Times New Roman"/>
                    <w:sz w:val="20"/>
                    <w:szCs w:val="20"/>
                  </w:rPr>
                  <m:t>ξ</m:t>
                </m:r>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Ratio of defect length to pipe wall thickness</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r>
                  <w:rPr>
                    <w:rFonts w:ascii="Cambria Math" w:hAnsi="Cambria Math" w:cs="Times New Roman"/>
                    <w:sz w:val="20"/>
                    <w:szCs w:val="20"/>
                  </w:rPr>
                  <m:t>ψ</m:t>
                </m:r>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Ratio of defect depth to pipe wall thickness</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r>
                  <w:rPr>
                    <w:rFonts w:ascii="Cambria Math" w:hAnsi="Cambria Math" w:cs="Times New Roman"/>
                    <w:sz w:val="20"/>
                    <w:szCs w:val="20"/>
                  </w:rPr>
                  <m:t>a</m:t>
                </m:r>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Defect height for surface –breaking defect [mm]</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r>
                  <w:rPr>
                    <w:rFonts w:ascii="Cambria Math" w:hAnsi="Cambria Math" w:cs="Times New Roman"/>
                    <w:sz w:val="20"/>
                    <w:szCs w:val="20"/>
                  </w:rPr>
                  <m:t>2a</m:t>
                </m:r>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Defect height for buried defect [mm]</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r>
                  <w:rPr>
                    <w:rFonts w:ascii="Cambria Math" w:hAnsi="Cambria Math" w:cs="Times New Roman"/>
                    <w:sz w:val="20"/>
                    <w:szCs w:val="20"/>
                  </w:rPr>
                  <m:t>2c</m:t>
                </m:r>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Defect length [mm]</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r>
                  <w:rPr>
                    <w:rFonts w:ascii="Cambria Math" w:hAnsi="Cambria Math" w:cs="Times New Roman"/>
                    <w:sz w:val="20"/>
                    <w:szCs w:val="20"/>
                  </w:rPr>
                  <m:t>t</m:t>
                </m:r>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Pipe wall thickness [mm]</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sSub>
                  <m:sSubPr>
                    <m:ctrlPr>
                      <w:rPr>
                        <w:rFonts w:ascii="Cambria Math" w:hAnsi="Cambria Math" w:cs="Times New Roman"/>
                        <w:i/>
                        <w:kern w:val="14"/>
                        <w:sz w:val="20"/>
                        <w:szCs w:val="20"/>
                        <w:lang w:val="en-US"/>
                      </w:rPr>
                    </m:ctrlPr>
                  </m:sSubPr>
                  <m:e>
                    <m:r>
                      <w:rPr>
                        <w:rFonts w:ascii="Cambria Math" w:hAnsi="Cambria Math" w:cs="Times New Roman"/>
                        <w:sz w:val="20"/>
                        <w:szCs w:val="20"/>
                      </w:rPr>
                      <m:t>d</m:t>
                    </m:r>
                  </m:e>
                  <m:sub>
                    <m:r>
                      <w:rPr>
                        <w:rFonts w:ascii="Cambria Math" w:hAnsi="Cambria Math" w:cs="Times New Roman"/>
                        <w:sz w:val="20"/>
                        <w:szCs w:val="20"/>
                      </w:rPr>
                      <m:t>1</m:t>
                    </m:r>
                  </m:sub>
                </m:sSub>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Defect depth [mm] (</w:t>
            </w:r>
            <w:r w:rsidRPr="00814896">
              <w:rPr>
                <w:rFonts w:ascii="Times New Roman" w:hAnsi="Times New Roman" w:cs="Times New Roman"/>
                <w:sz w:val="20"/>
                <w:szCs w:val="20"/>
              </w:rPr>
              <w:fldChar w:fldCharType="begin"/>
            </w:r>
            <w:r w:rsidRPr="00814896">
              <w:rPr>
                <w:rFonts w:ascii="Times New Roman" w:hAnsi="Times New Roman" w:cs="Times New Roman"/>
                <w:sz w:val="20"/>
                <w:szCs w:val="20"/>
              </w:rPr>
              <w:instrText xml:space="preserve"> REF _Ref316943083 \h </w:instrText>
            </w:r>
            <w:r w:rsidRPr="00814896">
              <w:rPr>
                <w:rFonts w:ascii="Times New Roman" w:hAnsi="Times New Roman" w:cs="Times New Roman"/>
                <w:sz w:val="20"/>
                <w:szCs w:val="20"/>
              </w:rPr>
            </w:r>
            <w:r w:rsidR="00CB66B1" w:rsidRPr="00814896">
              <w:rPr>
                <w:rFonts w:ascii="Times New Roman" w:hAnsi="Times New Roman" w:cs="Times New Roman"/>
                <w:sz w:val="20"/>
                <w:szCs w:val="20"/>
              </w:rPr>
              <w:instrText xml:space="preserve"> \* MERGEFORMAT </w:instrText>
            </w:r>
            <w:r w:rsidRPr="00814896">
              <w:rPr>
                <w:rFonts w:ascii="Times New Roman" w:hAnsi="Times New Roman" w:cs="Times New Roman"/>
                <w:sz w:val="20"/>
                <w:szCs w:val="20"/>
              </w:rPr>
              <w:fldChar w:fldCharType="separate"/>
            </w:r>
            <w:r w:rsidRPr="00814896">
              <w:rPr>
                <w:rFonts w:ascii="Times New Roman" w:hAnsi="Times New Roman" w:cs="Times New Roman"/>
                <w:sz w:val="20"/>
                <w:szCs w:val="20"/>
              </w:rPr>
              <w:t xml:space="preserve">Figure </w:t>
            </w:r>
            <w:r w:rsidRPr="00814896">
              <w:rPr>
                <w:rFonts w:ascii="Times New Roman" w:hAnsi="Times New Roman" w:cs="Times New Roman"/>
                <w:noProof/>
                <w:sz w:val="20"/>
                <w:szCs w:val="20"/>
              </w:rPr>
              <w:t>2</w:t>
            </w:r>
            <w:r w:rsidRPr="00814896">
              <w:rPr>
                <w:rFonts w:ascii="Times New Roman" w:hAnsi="Times New Roman" w:cs="Times New Roman"/>
                <w:sz w:val="20"/>
                <w:szCs w:val="20"/>
              </w:rPr>
              <w:fldChar w:fldCharType="end"/>
            </w:r>
            <w:r w:rsidRPr="00814896">
              <w:rPr>
                <w:rFonts w:ascii="Times New Roman" w:hAnsi="Times New Roman" w:cs="Times New Roman"/>
                <w:sz w:val="20"/>
                <w:szCs w:val="20"/>
              </w:rPr>
              <w:t>)</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sSub>
                  <m:sSubPr>
                    <m:ctrlPr>
                      <w:rPr>
                        <w:rFonts w:ascii="Cambria Math" w:hAnsi="Cambria Math" w:cs="Times New Roman"/>
                        <w:i/>
                        <w:kern w:val="14"/>
                        <w:sz w:val="20"/>
                        <w:szCs w:val="20"/>
                        <w:lang w:val="en-US"/>
                      </w:rPr>
                    </m:ctrlPr>
                  </m:sSubPr>
                  <m:e>
                    <m:r>
                      <w:rPr>
                        <w:rFonts w:ascii="Cambria Math" w:hAnsi="Cambria Math" w:cs="Times New Roman"/>
                        <w:sz w:val="20"/>
                        <w:szCs w:val="20"/>
                      </w:rPr>
                      <m:t>f</m:t>
                    </m:r>
                  </m:e>
                  <m:sub>
                    <m:r>
                      <w:rPr>
                        <w:rFonts w:ascii="Cambria Math" w:hAnsi="Cambria Math" w:cs="Times New Roman"/>
                        <w:sz w:val="20"/>
                        <w:szCs w:val="20"/>
                      </w:rPr>
                      <m:t>p</m:t>
                    </m:r>
                  </m:sub>
                </m:sSub>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Ratio of the applied hoop stress to the pipe yield strength (pressure factor)</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σ</m:t>
                    </m:r>
                  </m:e>
                  <m:sub>
                    <m:r>
                      <w:rPr>
                        <w:rFonts w:ascii="Cambria Math" w:hAnsi="Cambria Math" w:cs="Times New Roman"/>
                        <w:sz w:val="20"/>
                        <w:szCs w:val="20"/>
                      </w:rPr>
                      <m:t>U</m:t>
                    </m:r>
                  </m:sub>
                  <m:sup>
                    <m:r>
                      <w:rPr>
                        <w:rFonts w:ascii="Cambria Math" w:hAnsi="Cambria Math" w:cs="Times New Roman"/>
                        <w:sz w:val="20"/>
                        <w:szCs w:val="20"/>
                      </w:rPr>
                      <m:t>W</m:t>
                    </m:r>
                  </m:sup>
                </m:sSubSup>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Weld metal ultimate tensile strength</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sSub>
                  <m:sSubPr>
                    <m:ctrlPr>
                      <w:rPr>
                        <w:rFonts w:ascii="Cambria Math" w:hAnsi="Cambria Math" w:cs="Times New Roman"/>
                        <w:i/>
                        <w:kern w:val="14"/>
                        <w:sz w:val="20"/>
                        <w:szCs w:val="20"/>
                        <w:lang w:val="en-US"/>
                      </w:rPr>
                    </m:ctrlPr>
                  </m:sSubPr>
                  <m:e>
                    <m:r>
                      <w:rPr>
                        <w:rFonts w:ascii="Cambria Math" w:hAnsi="Cambria Math" w:cs="Times New Roman"/>
                        <w:sz w:val="20"/>
                        <w:szCs w:val="20"/>
                      </w:rPr>
                      <m:t>σ</m:t>
                    </m:r>
                  </m:e>
                  <m:sub>
                    <m:r>
                      <w:rPr>
                        <w:rFonts w:ascii="Cambria Math" w:hAnsi="Cambria Math" w:cs="Times New Roman"/>
                        <w:sz w:val="20"/>
                        <w:szCs w:val="20"/>
                      </w:rPr>
                      <m:t>U</m:t>
                    </m:r>
                  </m:sub>
                </m:sSub>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Base metal ultimate tensile strength</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r>
                  <w:rPr>
                    <w:rFonts w:ascii="Cambria Math" w:hAnsi="Cambria Math" w:cs="Times New Roman"/>
                    <w:sz w:val="20"/>
                    <w:szCs w:val="20"/>
                  </w:rPr>
                  <m:t>ϕ</m:t>
                </m:r>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Weld metal strength mismatch ratio (</w:t>
            </w: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σ</m:t>
                  </m:r>
                </m:e>
                <m:sub>
                  <m:r>
                    <w:rPr>
                      <w:rFonts w:ascii="Cambria Math" w:hAnsi="Cambria Math" w:cs="Times New Roman"/>
                      <w:sz w:val="20"/>
                      <w:szCs w:val="20"/>
                    </w:rPr>
                    <m:t>U</m:t>
                  </m:r>
                </m:sub>
                <m:sup>
                  <m:r>
                    <w:rPr>
                      <w:rFonts w:ascii="Cambria Math" w:hAnsi="Cambria Math" w:cs="Times New Roman"/>
                      <w:sz w:val="20"/>
                      <w:szCs w:val="20"/>
                    </w:rPr>
                    <m:t>W</m:t>
                  </m:r>
                </m:sup>
              </m:sSubSup>
              <m:r>
                <w:rPr>
                  <w:rFonts w:ascii="Cambria Math" w:hAnsi="Cambria Math" w:cs="Times New Roman"/>
                  <w:sz w:val="20"/>
                  <w:szCs w:val="20"/>
                </w:rPr>
                <m:t xml:space="preserve">/ </m:t>
              </m:r>
              <m:sSub>
                <m:sSubPr>
                  <m:ctrlPr>
                    <w:rPr>
                      <w:rFonts w:ascii="Cambria Math" w:hAnsi="Cambria Math" w:cs="Times New Roman"/>
                      <w:i/>
                      <w:kern w:val="14"/>
                      <w:sz w:val="20"/>
                      <w:szCs w:val="20"/>
                      <w:lang w:val="en-US"/>
                    </w:rPr>
                  </m:ctrlPr>
                </m:sSubPr>
                <m:e>
                  <m:r>
                    <w:rPr>
                      <w:rFonts w:ascii="Cambria Math" w:hAnsi="Cambria Math" w:cs="Times New Roman"/>
                      <w:sz w:val="20"/>
                      <w:szCs w:val="20"/>
                    </w:rPr>
                    <m:t>σ</m:t>
                  </m:r>
                </m:e>
                <m:sub>
                  <m:r>
                    <w:rPr>
                      <w:rFonts w:ascii="Cambria Math" w:hAnsi="Cambria Math" w:cs="Times New Roman"/>
                      <w:sz w:val="20"/>
                      <w:szCs w:val="20"/>
                    </w:rPr>
                    <m:t>U</m:t>
                  </m:r>
                </m:sub>
              </m:sSub>
            </m:oMath>
            <w:r w:rsidRPr="00814896">
              <w:rPr>
                <w:rFonts w:ascii="Times New Roman" w:hAnsi="Times New Roman" w:cs="Times New Roman"/>
                <w:sz w:val="20"/>
                <w:szCs w:val="20"/>
              </w:rPr>
              <w:t xml:space="preserve">) </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r>
                  <w:rPr>
                    <w:rFonts w:ascii="Cambria Math" w:hAnsi="Cambria Math" w:cs="Times New Roman"/>
                    <w:sz w:val="20"/>
                    <w:szCs w:val="20"/>
                  </w:rPr>
                  <m:t>h</m:t>
                </m:r>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w:r w:rsidRPr="00814896">
              <w:rPr>
                <w:rFonts w:ascii="Times New Roman" w:hAnsi="Times New Roman" w:cs="Times New Roman"/>
                <w:sz w:val="20"/>
                <w:szCs w:val="20"/>
              </w:rPr>
              <w:t>Girth weld high-low misalignment [mm]</w:t>
            </w:r>
          </w:p>
        </w:tc>
      </w:tr>
      <w:tr w:rsidR="00101C13" w:rsidRPr="00CB66B1" w:rsidTr="00101C13">
        <w:tc>
          <w:tcPr>
            <w:tcW w:w="1516" w:type="dxa"/>
            <w:tcBorders>
              <w:top w:val="nil"/>
              <w:left w:val="single" w:sz="4" w:space="0" w:color="auto"/>
              <w:bottom w:val="nil"/>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r>
                  <w:rPr>
                    <w:rFonts w:ascii="Cambria Math" w:hAnsi="Cambria Math" w:cs="Times New Roman"/>
                    <w:sz w:val="20"/>
                    <w:szCs w:val="20"/>
                  </w:rPr>
                  <m:t>TS</m:t>
                </m:r>
                <m:sSub>
                  <m:sSubPr>
                    <m:ctrlPr>
                      <w:rPr>
                        <w:rFonts w:ascii="Cambria Math" w:hAnsi="Cambria Math" w:cs="Times New Roman"/>
                        <w:i/>
                        <w:kern w:val="14"/>
                        <w:sz w:val="20"/>
                        <w:szCs w:val="20"/>
                        <w:lang w:val="en-US"/>
                      </w:rPr>
                    </m:ctrlPr>
                  </m:sSubPr>
                  <m:e>
                    <m:r>
                      <w:rPr>
                        <w:rFonts w:ascii="Cambria Math" w:hAnsi="Cambria Math" w:cs="Times New Roman"/>
                        <w:sz w:val="20"/>
                        <w:szCs w:val="20"/>
                      </w:rPr>
                      <m:t>C</m:t>
                    </m:r>
                  </m:e>
                  <m:sub>
                    <m:r>
                      <w:rPr>
                        <w:rFonts w:ascii="Cambria Math" w:hAnsi="Cambria Math" w:cs="Times New Roman"/>
                        <w:sz w:val="20"/>
                        <w:szCs w:val="20"/>
                      </w:rPr>
                      <m:t>p</m:t>
                    </m:r>
                  </m:sub>
                </m:sSub>
              </m:oMath>
            </m:oMathPara>
          </w:p>
        </w:tc>
        <w:tc>
          <w:tcPr>
            <w:tcW w:w="3830" w:type="dxa"/>
            <w:tcBorders>
              <w:top w:val="nil"/>
              <w:left w:val="nil"/>
              <w:bottom w:val="nil"/>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ε</m:t>
                  </m:r>
                </m:e>
                <m:sub>
                  <m:r>
                    <w:rPr>
                      <w:rFonts w:ascii="Cambria Math" w:hAnsi="Cambria Math" w:cs="Times New Roman"/>
                      <w:sz w:val="20"/>
                      <w:szCs w:val="20"/>
                    </w:rPr>
                    <m:t>t</m:t>
                  </m:r>
                </m:sub>
                <m:sup>
                  <m:r>
                    <w:rPr>
                      <w:rFonts w:ascii="Cambria Math" w:hAnsi="Cambria Math" w:cs="Times New Roman"/>
                      <w:sz w:val="20"/>
                      <w:szCs w:val="20"/>
                    </w:rPr>
                    <m:t>crit</m:t>
                  </m:r>
                </m:sup>
              </m:sSubSup>
            </m:oMath>
            <w:r w:rsidRPr="00814896">
              <w:rPr>
                <w:rFonts w:ascii="Times New Roman" w:hAnsi="Times New Roman" w:cs="Times New Roman"/>
                <w:sz w:val="20"/>
                <w:szCs w:val="20"/>
              </w:rPr>
              <w:t xml:space="preserve"> of pipes with </w:t>
            </w:r>
            <m:oMath>
              <m:r>
                <w:rPr>
                  <w:rFonts w:ascii="Cambria Math" w:hAnsi="Cambria Math" w:cs="Times New Roman"/>
                  <w:sz w:val="20"/>
                  <w:szCs w:val="20"/>
                </w:rPr>
                <m:t>t=15.9</m:t>
              </m:r>
            </m:oMath>
            <w:r w:rsidRPr="00814896">
              <w:rPr>
                <w:rFonts w:ascii="Times New Roman" w:hAnsi="Times New Roman" w:cs="Times New Roman"/>
                <w:sz w:val="20"/>
                <w:szCs w:val="20"/>
              </w:rPr>
              <w:t xml:space="preserve">[mm] and </w:t>
            </w:r>
            <m:oMath>
              <m:sSub>
                <m:sSubPr>
                  <m:ctrlPr>
                    <w:rPr>
                      <w:rFonts w:ascii="Cambria Math" w:hAnsi="Cambria Math" w:cs="Times New Roman"/>
                      <w:i/>
                      <w:kern w:val="14"/>
                      <w:sz w:val="20"/>
                      <w:szCs w:val="20"/>
                      <w:lang w:val="en-US"/>
                    </w:rPr>
                  </m:ctrlPr>
                </m:sSubPr>
                <m:e>
                  <m:r>
                    <w:rPr>
                      <w:rFonts w:ascii="Cambria Math" w:hAnsi="Cambria Math" w:cs="Times New Roman"/>
                      <w:sz w:val="20"/>
                      <w:szCs w:val="20"/>
                    </w:rPr>
                    <m:t>f</m:t>
                  </m:r>
                </m:e>
                <m:sub>
                  <m:r>
                    <w:rPr>
                      <w:rFonts w:ascii="Cambria Math" w:hAnsi="Cambria Math" w:cs="Times New Roman"/>
                      <w:sz w:val="20"/>
                      <w:szCs w:val="20"/>
                    </w:rPr>
                    <m:t>p</m:t>
                  </m:r>
                </m:sub>
              </m:sSub>
              <m:r>
                <w:rPr>
                  <w:rFonts w:ascii="Cambria Math" w:hAnsi="Cambria Math" w:cs="Times New Roman"/>
                  <w:sz w:val="20"/>
                  <w:szCs w:val="20"/>
                </w:rPr>
                <m:t>=0.72</m:t>
              </m:r>
            </m:oMath>
          </w:p>
        </w:tc>
      </w:tr>
      <w:tr w:rsidR="00101C13" w:rsidRPr="00CB66B1" w:rsidTr="00101C13">
        <w:tc>
          <w:tcPr>
            <w:tcW w:w="1516" w:type="dxa"/>
            <w:tcBorders>
              <w:top w:val="nil"/>
              <w:left w:val="single" w:sz="4" w:space="0" w:color="auto"/>
              <w:bottom w:val="single" w:sz="4" w:space="0" w:color="auto"/>
              <w:right w:val="nil"/>
            </w:tcBorders>
            <w:hideMark/>
          </w:tcPr>
          <w:p w:rsidR="00101C13" w:rsidRPr="004E5D05"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Para>
              <m:oMathParaPr>
                <m:jc m:val="left"/>
              </m:oMathParaPr>
              <m:oMath>
                <m:r>
                  <w:rPr>
                    <w:rFonts w:ascii="Cambria Math" w:hAnsi="Cambria Math" w:cs="Times New Roman"/>
                    <w:sz w:val="20"/>
                    <w:szCs w:val="20"/>
                  </w:rPr>
                  <m:t>TS</m:t>
                </m:r>
                <m:sSub>
                  <m:sSubPr>
                    <m:ctrlPr>
                      <w:rPr>
                        <w:rFonts w:ascii="Cambria Math" w:hAnsi="Cambria Math" w:cs="Times New Roman"/>
                        <w:i/>
                        <w:kern w:val="14"/>
                        <w:sz w:val="20"/>
                        <w:szCs w:val="20"/>
                        <w:lang w:val="en-US"/>
                      </w:rPr>
                    </m:ctrlPr>
                  </m:sSubPr>
                  <m:e>
                    <m:r>
                      <w:rPr>
                        <w:rFonts w:ascii="Cambria Math" w:hAnsi="Cambria Math" w:cs="Times New Roman"/>
                        <w:sz w:val="20"/>
                        <w:szCs w:val="20"/>
                      </w:rPr>
                      <m:t>C</m:t>
                    </m:r>
                  </m:e>
                  <m:sub>
                    <m:r>
                      <w:rPr>
                        <w:rFonts w:ascii="Cambria Math" w:hAnsi="Cambria Math" w:cs="Times New Roman"/>
                        <w:sz w:val="20"/>
                        <w:szCs w:val="20"/>
                      </w:rPr>
                      <m:t>0</m:t>
                    </m:r>
                  </m:sub>
                </m:sSub>
              </m:oMath>
            </m:oMathPara>
          </w:p>
        </w:tc>
        <w:tc>
          <w:tcPr>
            <w:tcW w:w="3830" w:type="dxa"/>
            <w:tcBorders>
              <w:top w:val="nil"/>
              <w:left w:val="nil"/>
              <w:bottom w:val="single" w:sz="4" w:space="0" w:color="auto"/>
              <w:right w:val="single" w:sz="4" w:space="0" w:color="auto"/>
            </w:tcBorders>
            <w:hideMark/>
          </w:tcPr>
          <w:p w:rsidR="00101C13" w:rsidRPr="00814896" w:rsidRDefault="00101C13" w:rsidP="00CB66B1">
            <w:pPr>
              <w:suppressAutoHyphens/>
              <w:overflowPunct w:val="0"/>
              <w:autoSpaceDE w:val="0"/>
              <w:autoSpaceDN w:val="0"/>
              <w:adjustRightInd w:val="0"/>
              <w:spacing w:after="0" w:line="240" w:lineRule="auto"/>
              <w:jc w:val="both"/>
              <w:rPr>
                <w:rFonts w:ascii="Times New Roman" w:hAnsi="Times New Roman" w:cs="Times New Roman"/>
                <w:kern w:val="14"/>
                <w:sz w:val="20"/>
                <w:szCs w:val="20"/>
                <w:lang w:val="en-US"/>
              </w:rPr>
            </w:pPr>
            <m:oMath>
              <m:sSubSup>
                <m:sSubSupPr>
                  <m:ctrlPr>
                    <w:rPr>
                      <w:rFonts w:ascii="Cambria Math" w:hAnsi="Cambria Math" w:cs="Times New Roman"/>
                      <w:i/>
                      <w:kern w:val="14"/>
                      <w:sz w:val="20"/>
                      <w:szCs w:val="20"/>
                      <w:lang w:val="en-US"/>
                    </w:rPr>
                  </m:ctrlPr>
                </m:sSubSupPr>
                <m:e>
                  <m:r>
                    <w:rPr>
                      <w:rFonts w:ascii="Cambria Math" w:hAnsi="Cambria Math" w:cs="Times New Roman"/>
                      <w:sz w:val="20"/>
                      <w:szCs w:val="20"/>
                    </w:rPr>
                    <m:t>ε</m:t>
                  </m:r>
                </m:e>
                <m:sub>
                  <m:r>
                    <w:rPr>
                      <w:rFonts w:ascii="Cambria Math" w:hAnsi="Cambria Math" w:cs="Times New Roman"/>
                      <w:sz w:val="20"/>
                      <w:szCs w:val="20"/>
                    </w:rPr>
                    <m:t>t</m:t>
                  </m:r>
                </m:sub>
                <m:sup>
                  <m:r>
                    <w:rPr>
                      <w:rFonts w:ascii="Cambria Math" w:hAnsi="Cambria Math" w:cs="Times New Roman"/>
                      <w:sz w:val="20"/>
                      <w:szCs w:val="20"/>
                    </w:rPr>
                    <m:t>crit</m:t>
                  </m:r>
                </m:sup>
              </m:sSubSup>
            </m:oMath>
            <w:r w:rsidRPr="00814896">
              <w:rPr>
                <w:rFonts w:ascii="Times New Roman" w:hAnsi="Times New Roman" w:cs="Times New Roman"/>
                <w:sz w:val="20"/>
                <w:szCs w:val="20"/>
              </w:rPr>
              <w:t xml:space="preserve"> of non-pressurized pipes</w:t>
            </w:r>
          </w:p>
        </w:tc>
      </w:tr>
    </w:tbl>
    <w:p w:rsidR="00101C13" w:rsidRDefault="00101C13" w:rsidP="00CB66B1">
      <w:pPr>
        <w:pStyle w:val="NomenclatureClauseTitle"/>
        <w:spacing w:before="0"/>
      </w:pPr>
    </w:p>
    <w:p w:rsidR="00101C13" w:rsidRDefault="00101C13" w:rsidP="00CB66B1">
      <w:pPr>
        <w:pStyle w:val="NomenclatureClauseTitle"/>
        <w:spacing w:before="0"/>
      </w:pPr>
      <w:r>
        <w:t>INTRODUCTION</w:t>
      </w:r>
    </w:p>
    <w:p w:rsidR="00101C13" w:rsidRDefault="00101C13" w:rsidP="00CB66B1">
      <w:pPr>
        <w:spacing w:after="0" w:line="240" w:lineRule="auto"/>
      </w:pPr>
      <w:r>
        <w:t xml:space="preserve">Steel pipelines are used for the efficient transportation of oil and natural gas from remote regions like sub-Arctic region of North America to the place of consumption. These pipelines are often subjected to excessive bending, tensile loading and high longitudinal strains due to temperature differences, internal pressure and unfavourable geotechnical conditions. The latter include slope instability, seismic activity or discontinuous permafrost which causes differential settlement of the pipeline due to the freezing and thawing cycle of the permafrost. In the presence of girth weld flaws, pressurized pipelines exhibit a reduction in their tensile strain capacity under tensile axial and bending loads. Extensive research has been </w:t>
      </w:r>
      <w:r>
        <w:lastRenderedPageBreak/>
        <w:t xml:space="preserve">conducted by Wang, et al </w:t>
      </w:r>
      <w:r>
        <w:fldChar w:fldCharType="begin"/>
      </w:r>
      <w:r>
        <w:instrText xml:space="preserve"> REF wang1 \h </w:instrText>
      </w:r>
      <w:r>
        <w:fldChar w:fldCharType="separate"/>
      </w:r>
      <w:r>
        <w:t xml:space="preserve">[3] </w:t>
      </w:r>
      <w:r>
        <w:fldChar w:fldCharType="end"/>
      </w:r>
      <w:r>
        <w:t xml:space="preserve">, </w:t>
      </w:r>
      <w:r>
        <w:fldChar w:fldCharType="begin"/>
      </w:r>
      <w:r>
        <w:instrText xml:space="preserve"> REF wang2 \h </w:instrText>
      </w:r>
      <w:r>
        <w:fldChar w:fldCharType="separate"/>
      </w:r>
      <w:r>
        <w:t xml:space="preserve">[4] </w:t>
      </w:r>
      <w:r>
        <w:fldChar w:fldCharType="end"/>
      </w:r>
      <w:r>
        <w:t xml:space="preserve">, </w:t>
      </w:r>
      <w:r>
        <w:fldChar w:fldCharType="begin"/>
      </w:r>
      <w:r>
        <w:instrText xml:space="preserve"> REF wang3 \h </w:instrText>
      </w:r>
      <w:r>
        <w:fldChar w:fldCharType="separate"/>
      </w:r>
      <w:r>
        <w:t xml:space="preserve">[5] </w:t>
      </w:r>
      <w:r>
        <w:fldChar w:fldCharType="end"/>
      </w:r>
      <w:r>
        <w:t xml:space="preserve">, </w:t>
      </w:r>
      <w:r>
        <w:fldChar w:fldCharType="begin"/>
      </w:r>
      <w:r>
        <w:instrText xml:space="preserve"> REF wang4 \h </w:instrText>
      </w:r>
      <w:r>
        <w:fldChar w:fldCharType="separate"/>
      </w:r>
      <w:r>
        <w:t xml:space="preserve">[6] </w:t>
      </w:r>
      <w:r>
        <w:fldChar w:fldCharType="end"/>
      </w:r>
      <w:r>
        <w:t xml:space="preserve">, </w:t>
      </w:r>
      <w:r>
        <w:fldChar w:fldCharType="begin"/>
      </w:r>
      <w:r>
        <w:instrText xml:space="preserve"> REF wang5 \h </w:instrText>
      </w:r>
      <w:r>
        <w:fldChar w:fldCharType="separate"/>
      </w:r>
      <w:r>
        <w:t xml:space="preserve">[7] </w:t>
      </w:r>
      <w:r>
        <w:fldChar w:fldCharType="end"/>
      </w:r>
      <w:r>
        <w:t xml:space="preserve">to understand this reduction which culminated in equations for the prediction of the tensile strain capacity of steel pipes which have been included in the CSA Z662.11 code. Possible girth weld defects are classified by Wang et al as surface breaking defects and buried defects. Surface breaking defects are those that resemble a crack that is connected to the surface of the pipe, while buried defects are those that are not connected to the surface of the pipe. Surface breaking defects and buried defects are shown in </w:t>
      </w:r>
      <w:r>
        <w:fldChar w:fldCharType="begin"/>
      </w:r>
      <w:r>
        <w:instrText xml:space="preserve"> REF _Ref316942905 \h </w:instrText>
      </w:r>
      <w:r>
        <w:fldChar w:fldCharType="separate"/>
      </w:r>
      <w:r>
        <w:t xml:space="preserve">Figure </w:t>
      </w:r>
      <w:r>
        <w:rPr>
          <w:noProof/>
        </w:rPr>
        <w:t>1</w:t>
      </w:r>
      <w:r>
        <w:fldChar w:fldCharType="end"/>
      </w:r>
      <w:r>
        <w:t xml:space="preserve"> and </w:t>
      </w:r>
      <w:r>
        <w:fldChar w:fldCharType="begin"/>
      </w:r>
      <w:r>
        <w:instrText xml:space="preserve"> REF _Ref316943083 \h </w:instrText>
      </w:r>
      <w:r>
        <w:fldChar w:fldCharType="separate"/>
      </w:r>
      <w:r>
        <w:t xml:space="preserve">Figure </w:t>
      </w:r>
      <w:r>
        <w:rPr>
          <w:noProof/>
        </w:rPr>
        <w:t>2</w:t>
      </w:r>
      <w:r>
        <w:fldChar w:fldCharType="end"/>
      </w:r>
      <w:r>
        <w:t xml:space="preserve"> respectively. Although the buried defect type is considered to be less harmful compared to surface defects and often treated conservatively as surface breaking defects, according to Wang et al </w:t>
      </w:r>
      <w:r>
        <w:fldChar w:fldCharType="begin"/>
      </w:r>
      <w:r>
        <w:instrText xml:space="preserve"> REF wang1 \h </w:instrText>
      </w:r>
      <w:r>
        <w:fldChar w:fldCharType="separate"/>
      </w:r>
      <w:r>
        <w:t xml:space="preserve">[3] </w:t>
      </w:r>
      <w:r>
        <w:fldChar w:fldCharType="end"/>
      </w:r>
      <w:r>
        <w:t xml:space="preserve"> it is demonstrated that this is not a right treatment. Therefore for each type of weld defect suitable equations are developed in order to predict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as a function of </w:t>
      </w:r>
      <m:oMath>
        <m:r>
          <w:rPr>
            <w:rFonts w:ascii="Cambria Math" w:hAnsi="Cambria Math"/>
          </w:rPr>
          <m:t>δ</m:t>
        </m:r>
      </m:oMath>
      <w:r>
        <w:t xml:space="preserve">, </w:t>
      </w:r>
      <m:oMath>
        <m:r>
          <w:rPr>
            <w:rFonts w:ascii="Cambria Math" w:hAnsi="Cambria Math"/>
          </w:rPr>
          <m:t>η</m:t>
        </m:r>
      </m:oMath>
      <w:r>
        <w:t xml:space="preserve">, </w:t>
      </w:r>
      <m:oMath>
        <m:r>
          <w:rPr>
            <w:rFonts w:ascii="Cambria Math" w:hAnsi="Cambria Math"/>
          </w:rPr>
          <m:t>λ</m:t>
        </m:r>
      </m:oMath>
      <w:r>
        <w:t xml:space="preserve">, </w:t>
      </w:r>
      <m:oMath>
        <m:r>
          <w:rPr>
            <w:rFonts w:ascii="Cambria Math" w:hAnsi="Cambria Math"/>
          </w:rPr>
          <m:t>ξ</m:t>
        </m:r>
      </m:oMath>
      <w:r>
        <w:t xml:space="preserve"> for surface-breaking defects where </w:t>
      </w:r>
      <m:oMath>
        <m:r>
          <w:rPr>
            <w:rFonts w:ascii="Cambria Math" w:hAnsi="Cambria Math"/>
          </w:rPr>
          <m:t>η</m:t>
        </m:r>
      </m:oMath>
      <w:r>
        <w:t xml:space="preserve"> depends on defect height (</w:t>
      </w:r>
      <m:oMath>
        <m:r>
          <w:rPr>
            <w:rFonts w:ascii="Cambria Math" w:hAnsi="Cambria Math"/>
          </w:rPr>
          <m:t>a</m:t>
        </m:r>
      </m:oMath>
      <w:r>
        <w:t>) and pipe wall thickness (</w:t>
      </w:r>
      <m:oMath>
        <m:r>
          <w:rPr>
            <w:rFonts w:ascii="Cambria Math" w:hAnsi="Cambria Math"/>
          </w:rPr>
          <m:t>t</m:t>
        </m:r>
      </m:oMath>
      <w:r>
        <w:t xml:space="preserve">) and </w:t>
      </w:r>
      <m:oMath>
        <m:r>
          <w:rPr>
            <w:rFonts w:ascii="Cambria Math" w:hAnsi="Cambria Math"/>
          </w:rPr>
          <m:t>ξ</m:t>
        </m:r>
      </m:oMath>
      <w:r>
        <w:t xml:space="preserve"> depends on the defect length (</w:t>
      </w:r>
      <m:oMath>
        <m:r>
          <w:rPr>
            <w:rFonts w:ascii="Cambria Math" w:hAnsi="Cambria Math"/>
          </w:rPr>
          <m:t>2c</m:t>
        </m:r>
      </m:oMath>
      <w:r>
        <w:t xml:space="preserve">) and </w:t>
      </w:r>
      <m:oMath>
        <m:r>
          <w:rPr>
            <w:rFonts w:ascii="Cambria Math" w:hAnsi="Cambria Math"/>
          </w:rPr>
          <m:t>t</m:t>
        </m:r>
      </m:oMath>
      <w:r>
        <w:t xml:space="preserve"> and as a function of  </w:t>
      </w:r>
      <m:oMath>
        <m:r>
          <w:rPr>
            <w:rFonts w:ascii="Cambria Math" w:hAnsi="Cambria Math"/>
          </w:rPr>
          <m:t>δ</m:t>
        </m:r>
      </m:oMath>
      <w:r>
        <w:t xml:space="preserve">, </w:t>
      </w:r>
      <m:oMath>
        <m:r>
          <w:rPr>
            <w:rFonts w:ascii="Cambria Math" w:hAnsi="Cambria Math"/>
          </w:rPr>
          <m:t>η</m:t>
        </m:r>
      </m:oMath>
      <w:r>
        <w:t xml:space="preserve">, </w:t>
      </w:r>
      <m:oMath>
        <m:r>
          <w:rPr>
            <w:rFonts w:ascii="Cambria Math" w:hAnsi="Cambria Math"/>
          </w:rPr>
          <m:t>λ</m:t>
        </m:r>
      </m:oMath>
      <w:r>
        <w:t xml:space="preserve">, </w:t>
      </w:r>
      <m:oMath>
        <m:r>
          <w:rPr>
            <w:rFonts w:ascii="Cambria Math" w:hAnsi="Cambria Math"/>
          </w:rPr>
          <m:t>ξ</m:t>
        </m:r>
      </m:oMath>
      <w:r>
        <w:t xml:space="preserve">, </w:t>
      </w:r>
      <m:oMath>
        <m:r>
          <w:rPr>
            <w:rFonts w:ascii="Cambria Math" w:hAnsi="Cambria Math"/>
          </w:rPr>
          <m:t>ψ</m:t>
        </m:r>
      </m:oMath>
      <w:r>
        <w:t xml:space="preserve"> for buried defects where </w:t>
      </w:r>
      <m:oMath>
        <m:r>
          <w:rPr>
            <w:rFonts w:ascii="Cambria Math" w:hAnsi="Cambria Math"/>
          </w:rPr>
          <m:t>ψ</m:t>
        </m:r>
      </m:oMath>
      <w:r>
        <w:t xml:space="preserve"> depends on the defect depth (</w:t>
      </w:r>
      <m:oMath>
        <m:sSub>
          <m:sSubPr>
            <m:ctrlPr>
              <w:rPr>
                <w:rFonts w:ascii="Cambria Math" w:hAnsi="Cambria Math"/>
                <w:i/>
                <w:kern w:val="14"/>
                <w:lang w:val="en-US"/>
              </w:rPr>
            </m:ctrlPr>
          </m:sSubPr>
          <m:e>
            <m:r>
              <w:rPr>
                <w:rFonts w:ascii="Cambria Math" w:hAnsi="Cambria Math"/>
              </w:rPr>
              <m:t>d</m:t>
            </m:r>
          </m:e>
          <m:sub>
            <m:r>
              <w:rPr>
                <w:rFonts w:ascii="Cambria Math" w:hAnsi="Cambria Math"/>
              </w:rPr>
              <m:t>1</m:t>
            </m:r>
          </m:sub>
        </m:sSub>
      </m:oMath>
      <w:r>
        <w:t xml:space="preserve">) and </w:t>
      </w:r>
      <m:oMath>
        <m:r>
          <w:rPr>
            <w:rFonts w:ascii="Cambria Math" w:hAnsi="Cambria Math"/>
          </w:rPr>
          <m:t>t</m:t>
        </m:r>
      </m:oMath>
      <w:r>
        <w:t xml:space="preserve">. According to Z662-11, in the absence of any experimental data,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of the pipe material can be calculated based on the equations </w:t>
      </w:r>
      <w:r>
        <w:fldChar w:fldCharType="begin"/>
      </w:r>
      <w:r>
        <w:instrText xml:space="preserve"> REF _Ref316948409 \h  \* MERGEFORMAT </w:instrText>
      </w:r>
      <w:r>
        <w:fldChar w:fldCharType="separate"/>
      </w:r>
      <w:r>
        <w:t>(</w:t>
      </w:r>
      <w:r>
        <w:rPr>
          <w:noProof/>
        </w:rPr>
        <w:t>1</w:t>
      </w:r>
      <w:r>
        <w:t>)</w:t>
      </w:r>
      <w:r>
        <w:fldChar w:fldCharType="end"/>
      </w:r>
      <w:r>
        <w:t xml:space="preserve"> and </w:t>
      </w:r>
      <w:r>
        <w:fldChar w:fldCharType="begin"/>
      </w:r>
      <w:r>
        <w:instrText xml:space="preserve"> REF _Ref316948428 \h  \* MERGEFORMAT </w:instrText>
      </w:r>
      <w:r>
        <w:fldChar w:fldCharType="separate"/>
      </w:r>
      <w:r>
        <w:t>(</w:t>
      </w:r>
      <w:r>
        <w:rPr>
          <w:noProof/>
        </w:rPr>
        <w:t>3</w:t>
      </w:r>
      <w:r>
        <w:t>)</w:t>
      </w:r>
      <w:r>
        <w:fldChar w:fldCharType="end"/>
      </w:r>
      <w:r>
        <w:t xml:space="preserve">. </w:t>
      </w:r>
    </w:p>
    <w:p w:rsidR="00101C13" w:rsidRDefault="00101C13" w:rsidP="00101C13">
      <w:pPr>
        <w:ind w:firstLine="357"/>
      </w:pPr>
      <w:r>
        <w:t xml:space="preserve">The original equations – which have also been adopted in CSA Z662.11 – have been developed based on wide plate tests which do not take the internal pressure of the pipe into consideration. This limitation has led to research towards the development of new sets of equations that are based on studies that include the internal pressure. Another set of tensile strain capacity equations has been proposed in </w:t>
      </w:r>
      <w:r>
        <w:fldChar w:fldCharType="begin"/>
      </w:r>
      <w:r>
        <w:instrText xml:space="preserve"> REF PRCI \h </w:instrText>
      </w:r>
      <w:r>
        <w:fldChar w:fldCharType="separate"/>
      </w:r>
      <w:r>
        <w:t>[2]</w:t>
      </w:r>
      <w:r>
        <w:fldChar w:fldCharType="end"/>
      </w:r>
      <w:r>
        <w:t xml:space="preserve"> for a default pipe wall thickness of 15.9 mm and pressure factor (</w:t>
      </w:r>
      <m:oMath>
        <m:sSub>
          <m:sSubPr>
            <m:ctrlPr>
              <w:rPr>
                <w:rFonts w:ascii="Cambria Math" w:hAnsi="Cambria Math"/>
                <w:i/>
                <w:kern w:val="14"/>
                <w:lang w:val="en-US"/>
              </w:rPr>
            </m:ctrlPr>
          </m:sSubPr>
          <m:e>
            <m:r>
              <w:rPr>
                <w:rFonts w:ascii="Cambria Math" w:hAnsi="Cambria Math"/>
              </w:rPr>
              <m:t>f</m:t>
            </m:r>
          </m:e>
          <m:sub>
            <m:r>
              <w:rPr>
                <w:rFonts w:ascii="Cambria Math" w:hAnsi="Cambria Math"/>
              </w:rPr>
              <m:t>p</m:t>
            </m:r>
          </m:sub>
        </m:sSub>
      </m:oMath>
      <w:r>
        <w:t xml:space="preserve">) of 0.72 which denotes the ratio of applied hoop stress to pipe yield strength, in order to develop a new tensile strain design model which is an important part of the strain-based design of pipelines. In the equations of </w:t>
      </w:r>
      <w:r>
        <w:fldChar w:fldCharType="begin"/>
      </w:r>
      <w:r>
        <w:instrText xml:space="preserve"> REF PRCI \h </w:instrText>
      </w:r>
      <w:r>
        <w:fldChar w:fldCharType="separate"/>
      </w:r>
      <w:r>
        <w:t>[2]</w:t>
      </w:r>
      <w:r>
        <w:fldChar w:fldCharType="end"/>
      </w:r>
      <w:r>
        <w:t xml:space="preserve"> the effects of varying the wall thickness and the internal pressure have been incorporated using the </w:t>
      </w:r>
      <w:r>
        <w:lastRenderedPageBreak/>
        <w:t>results obtained from a comprehensive finite element analysis and following curve fitting procedures. These equations predict tensile strain capacities according to the type of welding and consider the effects of weld metal strength mismatch ratio (</w:t>
      </w:r>
      <m:oMath>
        <m:r>
          <w:rPr>
            <w:rFonts w:ascii="Cambria Math" w:hAnsi="Cambria Math"/>
          </w:rPr>
          <m:t>ϕ</m:t>
        </m:r>
      </m:oMath>
      <w:r>
        <w:t>) and girth weld high-low misalignment (</w:t>
      </w:r>
      <m:oMath>
        <m:r>
          <w:rPr>
            <w:rFonts w:ascii="Cambria Math" w:hAnsi="Cambria Math"/>
          </w:rPr>
          <m:t>h</m:t>
        </m:r>
      </m:oMath>
      <w:r>
        <w:t xml:space="preserve">) on the tensile strain </w:t>
      </w:r>
      <w:proofErr w:type="gramStart"/>
      <w:r>
        <w:t>capacity .</w:t>
      </w:r>
      <w:proofErr w:type="gramEnd"/>
      <w:r>
        <w:t xml:space="preserve"> </w:t>
      </w:r>
    </w:p>
    <w:p w:rsidR="00101C13" w:rsidRDefault="00101C13" w:rsidP="00101C13">
      <w:pPr>
        <w:ind w:firstLine="357"/>
      </w:pPr>
      <w:r>
        <w:t xml:space="preserve">The development of the closed form equations for the critical strain capacity has finally enabled a rigorous methodological approach for the development of acceptance criteria for flaws in girth welds. However, a quick glance at equations </w:t>
      </w:r>
      <w:r>
        <w:fldChar w:fldCharType="begin"/>
      </w:r>
      <w:r>
        <w:instrText xml:space="preserve"> REF _Ref316948409 \h  \* MERGEFORMAT </w:instrText>
      </w:r>
      <w:r>
        <w:fldChar w:fldCharType="separate"/>
      </w:r>
      <w:r>
        <w:t>(</w:t>
      </w:r>
      <w:r>
        <w:rPr>
          <w:noProof/>
        </w:rPr>
        <w:t>1</w:t>
      </w:r>
      <w:r>
        <w:t>)</w:t>
      </w:r>
      <w:r>
        <w:fldChar w:fldCharType="end"/>
      </w:r>
      <w:r>
        <w:t xml:space="preserve"> and </w:t>
      </w:r>
      <w:r>
        <w:fldChar w:fldCharType="begin"/>
      </w:r>
      <w:r>
        <w:instrText xml:space="preserve"> REF _Ref316948428 \h  \* MERGEFORMAT </w:instrText>
      </w:r>
      <w:r>
        <w:fldChar w:fldCharType="separate"/>
      </w:r>
      <w:r>
        <w:t>(</w:t>
      </w:r>
      <w:r>
        <w:rPr>
          <w:noProof/>
        </w:rPr>
        <w:t>3</w:t>
      </w:r>
      <w:r>
        <w:t>)</w:t>
      </w:r>
      <w:r>
        <w:fldChar w:fldCharType="end"/>
      </w:r>
      <w:r>
        <w:t xml:space="preserve"> taken from </w:t>
      </w:r>
      <w:r>
        <w:fldChar w:fldCharType="begin"/>
      </w:r>
      <w:r>
        <w:instrText xml:space="preserve"> REF csa \h </w:instrText>
      </w:r>
      <w:r>
        <w:fldChar w:fldCharType="separate"/>
      </w:r>
      <w:r>
        <w:t>[1]</w:t>
      </w:r>
      <w:r>
        <w:fldChar w:fldCharType="end"/>
      </w:r>
      <w:r>
        <w:t xml:space="preserve"> shows that these equations are highly nonlinear. In addition, it might not be possible using simple inspection to explain how sensitive the strain capacity of a pipeline is to the variation in the different variables. Furthermore, a new pipeline construction would require criteria for the inspection and identification of critical flaws; an indirect application of the developed equations. The main purpose of this paper is to fully understand the effect of the different pipe and girth weld flaw parameters on the expected tensile strain capacity of girth-welded steel pipelines and to analyze the sensitivity of the equations to the changes in the geometry and material properties. The methodological approach developed in this study can be adopted in a new pipeline construction project to create acceptance criteria for girth weld defects.</w:t>
      </w:r>
    </w:p>
    <w:p w:rsidR="00101C13" w:rsidRDefault="00101C13" w:rsidP="00101C13">
      <w:pPr>
        <w:ind w:firstLine="357"/>
      </w:pPr>
    </w:p>
    <w:p w:rsidR="00101C13" w:rsidRDefault="00101C13" w:rsidP="00101C13">
      <w:pPr>
        <w:keepNext/>
        <w:jc w:val="center"/>
      </w:pPr>
      <w:r>
        <w:rPr>
          <w:noProof/>
          <w:lang w:eastAsia="en-CA"/>
        </w:rPr>
        <w:lastRenderedPageBreak/>
        <w:drawing>
          <wp:inline distT="0" distB="0" distL="0" distR="0" wp14:anchorId="046EFDBA" wp14:editId="31086FE9">
            <wp:extent cx="2991485" cy="1265555"/>
            <wp:effectExtent l="0" t="0" r="0" b="0"/>
            <wp:docPr id="18" name="Picture 18" descr="Description: surface de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urface def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1485" cy="1265555"/>
                    </a:xfrm>
                    <a:prstGeom prst="rect">
                      <a:avLst/>
                    </a:prstGeom>
                    <a:noFill/>
                    <a:ln>
                      <a:noFill/>
                    </a:ln>
                  </pic:spPr>
                </pic:pic>
              </a:graphicData>
            </a:graphic>
          </wp:inline>
        </w:drawing>
      </w:r>
    </w:p>
    <w:p w:rsidR="00101C13" w:rsidRDefault="00101C13" w:rsidP="00101C13">
      <w:pPr>
        <w:pStyle w:val="Caption"/>
        <w:ind w:firstLine="357"/>
        <w:jc w:val="center"/>
        <w:rPr>
          <w:rFonts w:ascii="Times New Roman" w:hAnsi="Times New Roman" w:cs="Times New Roman"/>
        </w:rPr>
      </w:pPr>
      <w:bookmarkStart w:id="4" w:name="_Ref316942905"/>
      <w:r>
        <w:rPr>
          <w:rFonts w:ascii="Times New Roman" w:hAnsi="Times New Roman" w:cs="Times New Roman"/>
        </w:rPr>
        <w:t xml:space="preserve">Figure </w:t>
      </w:r>
      <w:r>
        <w:fldChar w:fldCharType="begin"/>
      </w:r>
      <w:r>
        <w:rPr>
          <w:rFonts w:ascii="Times New Roman" w:hAnsi="Times New Roman" w:cs="Times New Roman"/>
        </w:rPr>
        <w:instrText xml:space="preserve"> SEQ Figure \* ARABIC </w:instrText>
      </w:r>
      <w:r>
        <w:fldChar w:fldCharType="separate"/>
      </w:r>
      <w:r>
        <w:rPr>
          <w:rFonts w:ascii="Times New Roman" w:hAnsi="Times New Roman" w:cs="Times New Roman"/>
          <w:noProof/>
        </w:rPr>
        <w:t>1</w:t>
      </w:r>
      <w:r>
        <w:fldChar w:fldCharType="end"/>
      </w:r>
      <w:bookmarkEnd w:id="4"/>
      <w:r>
        <w:rPr>
          <w:rFonts w:ascii="Times New Roman" w:hAnsi="Times New Roman" w:cs="Times New Roman"/>
        </w:rPr>
        <w:t xml:space="preserve">: A planar surface-breaking defect in the pipe wall </w:t>
      </w:r>
      <w:r>
        <w:rPr>
          <w:rFonts w:ascii="Times New Roman" w:hAnsi="Times New Roman" w:cs="Times New Roman"/>
        </w:rPr>
        <w:fldChar w:fldCharType="begin"/>
      </w:r>
      <w:r>
        <w:rPr>
          <w:rFonts w:ascii="Times New Roman" w:hAnsi="Times New Roman" w:cs="Times New Roman"/>
        </w:rPr>
        <w:instrText xml:space="preserve"> REF csa \h  \* MERGEFORMAT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bl>
      <w:tblPr>
        <w:tblW w:w="5205" w:type="dxa"/>
        <w:tblLayout w:type="fixed"/>
        <w:tblLook w:val="04A0" w:firstRow="1" w:lastRow="0" w:firstColumn="1" w:lastColumn="0" w:noHBand="0" w:noVBand="1"/>
      </w:tblPr>
      <w:tblGrid>
        <w:gridCol w:w="4638"/>
        <w:gridCol w:w="567"/>
      </w:tblGrid>
      <w:tr w:rsidR="00101C13" w:rsidTr="00101C13">
        <w:trPr>
          <w:trHeight w:val="657"/>
        </w:trPr>
        <w:tc>
          <w:tcPr>
            <w:tcW w:w="4644" w:type="dxa"/>
            <w:vAlign w:val="center"/>
            <w:hideMark/>
          </w:tcPr>
          <w:p w:rsidR="00101C13" w:rsidRDefault="00101C13" w:rsidP="00101C13">
            <w:pPr>
              <w:keepNext/>
              <w:suppressAutoHyphens/>
              <w:overflowPunct w:val="0"/>
              <w:autoSpaceDE w:val="0"/>
              <w:autoSpaceDN w:val="0"/>
              <w:adjustRightInd w:val="0"/>
              <w:ind w:firstLine="357"/>
              <w:jc w:val="center"/>
              <w:rPr>
                <w:kern w:val="14"/>
                <w:position w:val="-28"/>
                <w:lang w:val="en-US"/>
              </w:rPr>
            </w:pPr>
            <m:oMathPara>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p>
                  <m:sSupPr>
                    <m:ctrlPr>
                      <w:rPr>
                        <w:rFonts w:ascii="Cambria Math" w:hAnsi="Cambria Math"/>
                        <w:i/>
                        <w:kern w:val="14"/>
                        <w:lang w:val="en-US"/>
                      </w:rPr>
                    </m:ctrlPr>
                  </m:sSupPr>
                  <m:e>
                    <m:r>
                      <w:rPr>
                        <w:rFonts w:ascii="Cambria Math" w:hAnsi="Cambria Math"/>
                      </w:rPr>
                      <m:t>δ</m:t>
                    </m:r>
                  </m:e>
                  <m:sup>
                    <m:r>
                      <w:rPr>
                        <w:rFonts w:ascii="Cambria Math" w:hAnsi="Cambria Math"/>
                      </w:rPr>
                      <m:t>2.36-1.58λ-0.101ξη</m:t>
                    </m:r>
                  </m:sup>
                </m:sSup>
                <m:r>
                  <w:rPr>
                    <w:rFonts w:ascii="Cambria Math" w:hAnsi="Cambria Math"/>
                  </w:rPr>
                  <m:t>(1+16.1</m:t>
                </m:r>
                <m:sSup>
                  <m:sSupPr>
                    <m:ctrlPr>
                      <w:rPr>
                        <w:rFonts w:ascii="Cambria Math" w:hAnsi="Cambria Math"/>
                        <w:i/>
                        <w:kern w:val="14"/>
                        <w:lang w:val="en-US"/>
                      </w:rPr>
                    </m:ctrlPr>
                  </m:sSupPr>
                  <m:e>
                    <m:r>
                      <w:rPr>
                        <w:rFonts w:ascii="Cambria Math" w:hAnsi="Cambria Math"/>
                      </w:rPr>
                      <m:t>λ</m:t>
                    </m:r>
                  </m:e>
                  <m:sup>
                    <m:r>
                      <w:rPr>
                        <w:rFonts w:ascii="Cambria Math" w:hAnsi="Cambria Math"/>
                      </w:rPr>
                      <m:t>-4.45</m:t>
                    </m:r>
                  </m:sup>
                </m:sSup>
                <m:r>
                  <w:rPr>
                    <w:rFonts w:ascii="Cambria Math" w:hAnsi="Cambria Math"/>
                  </w:rPr>
                  <m:t>)(-0.157+0.239</m:t>
                </m:r>
                <m:sSup>
                  <m:sSupPr>
                    <m:ctrlPr>
                      <w:rPr>
                        <w:rFonts w:ascii="Cambria Math" w:hAnsi="Cambria Math"/>
                        <w:i/>
                        <w:kern w:val="14"/>
                        <w:lang w:val="en-US"/>
                      </w:rPr>
                    </m:ctrlPr>
                  </m:sSupPr>
                  <m:e>
                    <m:r>
                      <w:rPr>
                        <w:rFonts w:ascii="Cambria Math" w:hAnsi="Cambria Math"/>
                      </w:rPr>
                      <m:t>ξ</m:t>
                    </m:r>
                  </m:e>
                  <m:sup>
                    <m:r>
                      <w:rPr>
                        <w:rFonts w:ascii="Cambria Math" w:hAnsi="Cambria Math"/>
                      </w:rPr>
                      <m:t>-0.241</m:t>
                    </m:r>
                  </m:sup>
                </m:sSup>
                <m:sSup>
                  <m:sSupPr>
                    <m:ctrlPr>
                      <w:rPr>
                        <w:rFonts w:ascii="Cambria Math" w:hAnsi="Cambria Math"/>
                        <w:i/>
                        <w:kern w:val="14"/>
                        <w:lang w:val="en-US"/>
                      </w:rPr>
                    </m:ctrlPr>
                  </m:sSupPr>
                  <m:e>
                    <m:r>
                      <w:rPr>
                        <w:rFonts w:ascii="Cambria Math" w:hAnsi="Cambria Math"/>
                      </w:rPr>
                      <m:t>η</m:t>
                    </m:r>
                  </m:e>
                  <m:sup>
                    <m:r>
                      <w:rPr>
                        <w:rFonts w:ascii="Cambria Math" w:hAnsi="Cambria Math"/>
                      </w:rPr>
                      <m:t>-0.315</m:t>
                    </m:r>
                  </m:sup>
                </m:sSup>
                <m:r>
                  <w:rPr>
                    <w:rFonts w:ascii="Cambria Math" w:hAnsi="Cambria Math"/>
                  </w:rPr>
                  <m:t>)</m:t>
                </m:r>
              </m:oMath>
            </m:oMathPara>
          </w:p>
        </w:tc>
        <w:tc>
          <w:tcPr>
            <w:tcW w:w="567" w:type="dxa"/>
            <w:vAlign w:val="center"/>
            <w:hideMark/>
          </w:tcPr>
          <w:p w:rsidR="00101C13" w:rsidRDefault="00101C13" w:rsidP="00101C13">
            <w:pPr>
              <w:suppressAutoHyphens/>
              <w:overflowPunct w:val="0"/>
              <w:autoSpaceDE w:val="0"/>
              <w:autoSpaceDN w:val="0"/>
              <w:adjustRightInd w:val="0"/>
              <w:rPr>
                <w:kern w:val="14"/>
                <w:lang w:val="en-US"/>
              </w:rPr>
            </w:pPr>
            <w:bookmarkStart w:id="5" w:name="_Ref316948401"/>
            <w:bookmarkStart w:id="6" w:name="_Ref316948409"/>
            <w:r>
              <w:t>(</w:t>
            </w:r>
            <w:r>
              <w:fldChar w:fldCharType="begin"/>
            </w:r>
            <w:r>
              <w:instrText xml:space="preserve"> SEQ Equation \* ARABIC </w:instrText>
            </w:r>
            <w:r>
              <w:fldChar w:fldCharType="separate"/>
            </w:r>
            <w:r>
              <w:rPr>
                <w:noProof/>
              </w:rPr>
              <w:t>1</w:t>
            </w:r>
            <w:r>
              <w:fldChar w:fldCharType="end"/>
            </w:r>
            <w:bookmarkEnd w:id="5"/>
            <w:r>
              <w:t>)</w:t>
            </w:r>
            <w:bookmarkEnd w:id="6"/>
          </w:p>
        </w:tc>
      </w:tr>
      <w:tr w:rsidR="00101C13" w:rsidTr="00101C13">
        <w:trPr>
          <w:trHeight w:val="657"/>
        </w:trPr>
        <w:tc>
          <w:tcPr>
            <w:tcW w:w="4644" w:type="dxa"/>
            <w:vAlign w:val="center"/>
            <w:hideMark/>
          </w:tcPr>
          <w:p w:rsidR="00101C13" w:rsidRDefault="00101C13" w:rsidP="00101C13">
            <w:pPr>
              <w:keepNext/>
              <w:suppressAutoHyphens/>
              <w:overflowPunct w:val="0"/>
              <w:autoSpaceDE w:val="0"/>
              <w:autoSpaceDN w:val="0"/>
              <w:adjustRightInd w:val="0"/>
              <w:ind w:firstLine="357"/>
              <w:jc w:val="center"/>
              <w:rPr>
                <w:kern w:val="14"/>
                <w:position w:val="-14"/>
                <w:lang w:val="en-US"/>
              </w:rPr>
            </w:pPr>
            <m:oMathPara>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(δ, ξ, η, λ)</m:t>
                </m:r>
              </m:oMath>
            </m:oMathPara>
          </w:p>
        </w:tc>
        <w:tc>
          <w:tcPr>
            <w:tcW w:w="567" w:type="dxa"/>
            <w:vAlign w:val="center"/>
            <w:hideMark/>
          </w:tcPr>
          <w:p w:rsidR="00101C13" w:rsidRDefault="00101C13" w:rsidP="00101C13">
            <w:pPr>
              <w:suppressAutoHyphens/>
              <w:overflowPunct w:val="0"/>
              <w:autoSpaceDE w:val="0"/>
              <w:autoSpaceDN w:val="0"/>
              <w:adjustRightInd w:val="0"/>
              <w:rPr>
                <w:kern w:val="14"/>
                <w:lang w:val="en-US"/>
              </w:rPr>
            </w:pPr>
            <w:r>
              <w:t>(</w:t>
            </w:r>
            <w:r>
              <w:fldChar w:fldCharType="begin"/>
            </w:r>
            <w:r>
              <w:instrText xml:space="preserve"> SEQ Equation \* ARABIC </w:instrText>
            </w:r>
            <w:r>
              <w:fldChar w:fldCharType="separate"/>
            </w:r>
            <w:r>
              <w:rPr>
                <w:noProof/>
              </w:rPr>
              <w:t>2</w:t>
            </w:r>
            <w:r>
              <w:rPr>
                <w:noProof/>
              </w:rPr>
              <w:fldChar w:fldCharType="end"/>
            </w:r>
            <w:r>
              <w:t>)</w:t>
            </w:r>
          </w:p>
        </w:tc>
      </w:tr>
    </w:tbl>
    <w:p w:rsidR="00101C13" w:rsidRDefault="00101C13" w:rsidP="00101C13">
      <w:pPr>
        <w:ind w:firstLine="357"/>
        <w:rPr>
          <w:rFonts w:ascii="Times New Roman" w:hAnsi="Times New Roman" w:cs="Times New Roman"/>
          <w:kern w:val="14"/>
          <w:sz w:val="20"/>
          <w:szCs w:val="20"/>
          <w:lang w:val="en-US"/>
        </w:rPr>
      </w:pPr>
    </w:p>
    <w:p w:rsidR="00101C13" w:rsidRDefault="00101C13" w:rsidP="00101C13">
      <w:pPr>
        <w:keepNext/>
        <w:ind w:firstLine="357"/>
        <w:jc w:val="center"/>
      </w:pPr>
      <w:r>
        <w:rPr>
          <w:b/>
          <w:noProof/>
          <w:lang w:eastAsia="en-CA"/>
        </w:rPr>
        <w:drawing>
          <wp:inline distT="0" distB="0" distL="0" distR="0" wp14:anchorId="2BB9FEFC" wp14:editId="1977CC03">
            <wp:extent cx="2991485" cy="2858135"/>
            <wp:effectExtent l="0" t="0" r="0" b="0"/>
            <wp:docPr id="17" name="Picture 17" descr="Description: buried de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buried def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1485" cy="2858135"/>
                    </a:xfrm>
                    <a:prstGeom prst="rect">
                      <a:avLst/>
                    </a:prstGeom>
                    <a:noFill/>
                    <a:ln>
                      <a:noFill/>
                    </a:ln>
                  </pic:spPr>
                </pic:pic>
              </a:graphicData>
            </a:graphic>
          </wp:inline>
        </w:drawing>
      </w:r>
    </w:p>
    <w:p w:rsidR="00101C13" w:rsidRDefault="00101C13" w:rsidP="00101C13">
      <w:pPr>
        <w:pStyle w:val="Caption"/>
        <w:ind w:firstLine="357"/>
        <w:jc w:val="center"/>
        <w:rPr>
          <w:rFonts w:ascii="Times New Roman" w:hAnsi="Times New Roman" w:cs="Times New Roman"/>
        </w:rPr>
      </w:pPr>
      <w:bookmarkStart w:id="7" w:name="_Ref316943083"/>
      <w:r>
        <w:rPr>
          <w:rFonts w:ascii="Times New Roman" w:hAnsi="Times New Roman" w:cs="Times New Roman"/>
        </w:rPr>
        <w:t xml:space="preserve">Figure </w:t>
      </w:r>
      <w:r>
        <w:fldChar w:fldCharType="begin"/>
      </w:r>
      <w:r>
        <w:rPr>
          <w:rFonts w:ascii="Times New Roman" w:hAnsi="Times New Roman" w:cs="Times New Roman"/>
        </w:rPr>
        <w:instrText xml:space="preserve"> SEQ Figure \* ARABIC </w:instrText>
      </w:r>
      <w:r>
        <w:fldChar w:fldCharType="separate"/>
      </w:r>
      <w:r>
        <w:rPr>
          <w:rFonts w:ascii="Times New Roman" w:hAnsi="Times New Roman" w:cs="Times New Roman"/>
          <w:noProof/>
        </w:rPr>
        <w:t>2</w:t>
      </w:r>
      <w:r>
        <w:fldChar w:fldCharType="end"/>
      </w:r>
      <w:bookmarkEnd w:id="7"/>
      <w:r>
        <w:rPr>
          <w:rFonts w:ascii="Times New Roman" w:hAnsi="Times New Roman" w:cs="Times New Roman"/>
        </w:rPr>
        <w:t xml:space="preserve">: A planar buried defect in the pipe wall </w:t>
      </w:r>
      <w:r>
        <w:rPr>
          <w:rFonts w:ascii="Times New Roman" w:hAnsi="Times New Roman" w:cs="Times New Roman"/>
        </w:rPr>
        <w:fldChar w:fldCharType="begin"/>
      </w:r>
      <w:r>
        <w:rPr>
          <w:rFonts w:ascii="Times New Roman" w:hAnsi="Times New Roman" w:cs="Times New Roman"/>
        </w:rPr>
        <w:instrText xml:space="preserve"> REF csa \h  \* MERGEFORMAT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p w:rsidR="00101C13" w:rsidRDefault="00101C13" w:rsidP="00101C13">
      <w:pPr>
        <w:ind w:firstLine="357"/>
        <w:rPr>
          <w:rFonts w:ascii="Times New Roman" w:hAnsi="Times New Roman" w:cs="Times New Roman"/>
        </w:rPr>
      </w:pPr>
      <w:r>
        <w:rPr>
          <w:rFonts w:ascii="Times New Roman" w:eastAsia="Times New Roman" w:hAnsi="Times New Roman" w:cs="Times New Roman"/>
          <w:kern w:val="14"/>
          <w:position w:val="-10"/>
          <w:sz w:val="20"/>
          <w:szCs w:val="20"/>
          <w:lang w:val="en-US"/>
        </w:rPr>
        <w:object w:dxaOrig="18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5pt;height:17.15pt" o:ole="">
            <v:imagedata r:id="rId7" o:title=""/>
          </v:shape>
          <o:OLEObject Type="Embed" ProgID="Equation.3" ShapeID="_x0000_i1025" DrawAspect="Content" ObjectID="_1398169297" r:id="rId8"/>
        </w:object>
      </w:r>
    </w:p>
    <w:tbl>
      <w:tblPr>
        <w:tblW w:w="0" w:type="auto"/>
        <w:tblLook w:val="04A0" w:firstRow="1" w:lastRow="0" w:firstColumn="1" w:lastColumn="0" w:noHBand="0" w:noVBand="1"/>
      </w:tblPr>
      <w:tblGrid>
        <w:gridCol w:w="4075"/>
        <w:gridCol w:w="461"/>
      </w:tblGrid>
      <w:tr w:rsidR="00101C13" w:rsidTr="00101C13">
        <w:tc>
          <w:tcPr>
            <w:tcW w:w="4896" w:type="dxa"/>
            <w:hideMark/>
          </w:tcPr>
          <w:p w:rsidR="00101C13" w:rsidRDefault="00101C13" w:rsidP="00101C13">
            <w:pPr>
              <w:keepNext/>
              <w:ind w:firstLine="357"/>
              <w:rPr>
                <w:kern w:val="14"/>
                <w:lang w:val="en-US"/>
              </w:rPr>
            </w:pPr>
            <m:oMathPara>
              <m:oMathParaPr>
                <m:jc m:val="left"/>
              </m:oMathParaP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p>
                  <m:sSupPr>
                    <m:ctrlPr>
                      <w:rPr>
                        <w:rFonts w:ascii="Cambria Math" w:hAnsi="Cambria Math"/>
                        <w:i/>
                        <w:kern w:val="14"/>
                        <w:lang w:val="en-US"/>
                      </w:rPr>
                    </m:ctrlPr>
                  </m:sSupPr>
                  <m:e>
                    <m:r>
                      <w:rPr>
                        <w:rFonts w:ascii="Cambria Math" w:hAnsi="Cambria Math"/>
                      </w:rPr>
                      <m:t>δ</m:t>
                    </m:r>
                  </m:e>
                  <m:sup>
                    <m:d>
                      <m:dPr>
                        <m:ctrlPr>
                          <w:rPr>
                            <w:rFonts w:ascii="Cambria Math" w:hAnsi="Cambria Math"/>
                            <w:i/>
                            <w:kern w:val="14"/>
                            <w:lang w:val="en-US"/>
                          </w:rPr>
                        </m:ctrlPr>
                      </m:dPr>
                      <m:e>
                        <m:r>
                          <w:rPr>
                            <w:rFonts w:ascii="Cambria Math" w:hAnsi="Cambria Math"/>
                          </w:rPr>
                          <m:t>1.08-0.612η-0.0735ξ+0.364ψ</m:t>
                        </m:r>
                      </m:e>
                    </m:d>
                  </m:sup>
                </m:sSup>
                <m:d>
                  <m:dPr>
                    <m:ctrlPr>
                      <w:rPr>
                        <w:rFonts w:ascii="Cambria Math" w:hAnsi="Cambria Math"/>
                        <w:i/>
                        <w:kern w:val="14"/>
                        <w:lang w:val="en-US"/>
                      </w:rPr>
                    </m:ctrlPr>
                  </m:dPr>
                  <m:e>
                    <m:r>
                      <w:rPr>
                        <w:rFonts w:ascii="Cambria Math" w:hAnsi="Cambria Math"/>
                      </w:rPr>
                      <m:t>12.3-4.65</m:t>
                    </m:r>
                    <m:rad>
                      <m:radPr>
                        <m:degHide m:val="1"/>
                        <m:ctrlPr>
                          <w:rPr>
                            <w:rFonts w:ascii="Cambria Math" w:hAnsi="Cambria Math"/>
                            <w:i/>
                            <w:kern w:val="14"/>
                            <w:lang w:val="en-US"/>
                          </w:rPr>
                        </m:ctrlPr>
                      </m:radPr>
                      <m:deg/>
                      <m:e>
                        <m:r>
                          <w:rPr>
                            <w:rFonts w:ascii="Cambria Math" w:hAnsi="Cambria Math"/>
                          </w:rPr>
                          <m:t>t</m:t>
                        </m:r>
                      </m:e>
                    </m:rad>
                    <m:r>
                      <w:rPr>
                        <w:rFonts w:ascii="Cambria Math" w:hAnsi="Cambria Math"/>
                      </w:rPr>
                      <m:t>+0.495t</m:t>
                    </m:r>
                  </m:e>
                </m:d>
                <m:d>
                  <m:dPr>
                    <m:ctrlPr>
                      <w:rPr>
                        <w:rFonts w:ascii="Cambria Math" w:hAnsi="Cambria Math"/>
                        <w:i/>
                        <w:kern w:val="14"/>
                        <w:lang w:val="en-US"/>
                      </w:rPr>
                    </m:ctrlPr>
                  </m:dPr>
                  <m:e>
                    <m:r>
                      <w:rPr>
                        <w:rFonts w:ascii="Cambria Math" w:hAnsi="Cambria Math"/>
                      </w:rPr>
                      <m:t>11.8-10.6λ</m:t>
                    </m:r>
                  </m:e>
                </m:d>
              </m:oMath>
            </m:oMathPara>
          </w:p>
          <w:p w:rsidR="00101C13" w:rsidRDefault="00101C13" w:rsidP="00101C13">
            <w:pPr>
              <w:keepNext/>
              <w:ind w:firstLine="357"/>
            </w:pPr>
            <m:oMathPara>
              <m:oMathParaPr>
                <m:jc m:val="left"/>
              </m:oMathParaPr>
              <m:oMath>
                <m:d>
                  <m:dPr>
                    <m:ctrlPr>
                      <w:rPr>
                        <w:rFonts w:ascii="Cambria Math" w:hAnsi="Cambria Math"/>
                        <w:i/>
                        <w:kern w:val="14"/>
                        <w:lang w:val="en-US"/>
                      </w:rPr>
                    </m:ctrlPr>
                  </m:dPr>
                  <m:e>
                    <m:r>
                      <w:rPr>
                        <w:rFonts w:ascii="Cambria Math" w:hAnsi="Cambria Math"/>
                      </w:rPr>
                      <m:t>-5.14+</m:t>
                    </m:r>
                    <m:f>
                      <m:fPr>
                        <m:ctrlPr>
                          <w:rPr>
                            <w:rFonts w:ascii="Cambria Math" w:hAnsi="Cambria Math"/>
                            <w:i/>
                            <w:kern w:val="14"/>
                            <w:lang w:val="en-US"/>
                          </w:rPr>
                        </m:ctrlPr>
                      </m:fPr>
                      <m:num>
                        <m:r>
                          <w:rPr>
                            <w:rFonts w:ascii="Cambria Math" w:hAnsi="Cambria Math"/>
                          </w:rPr>
                          <m:t>0.992</m:t>
                        </m:r>
                      </m:num>
                      <m:den>
                        <m:r>
                          <w:rPr>
                            <w:rFonts w:ascii="Cambria Math" w:hAnsi="Cambria Math"/>
                          </w:rPr>
                          <m:t>ψ</m:t>
                        </m:r>
                      </m:den>
                    </m:f>
                    <m:r>
                      <w:rPr>
                        <w:rFonts w:ascii="Cambria Math" w:hAnsi="Cambria Math"/>
                      </w:rPr>
                      <m:t>+20.1ψ</m:t>
                    </m:r>
                  </m:e>
                </m:d>
                <m:d>
                  <m:dPr>
                    <m:ctrlPr>
                      <w:rPr>
                        <w:rFonts w:ascii="Cambria Math" w:hAnsi="Cambria Math"/>
                        <w:i/>
                        <w:kern w:val="14"/>
                        <w:lang w:val="en-US"/>
                      </w:rPr>
                    </m:ctrlPr>
                  </m:dPr>
                  <m:e>
                    <m:r>
                      <w:rPr>
                        <w:rFonts w:ascii="Cambria Math" w:hAnsi="Cambria Math"/>
                      </w:rPr>
                      <m:t>-3.63+11.0</m:t>
                    </m:r>
                    <m:rad>
                      <m:radPr>
                        <m:degHide m:val="1"/>
                        <m:ctrlPr>
                          <w:rPr>
                            <w:rFonts w:ascii="Cambria Math" w:hAnsi="Cambria Math"/>
                            <w:i/>
                            <w:kern w:val="14"/>
                            <w:lang w:val="en-US"/>
                          </w:rPr>
                        </m:ctrlPr>
                      </m:radPr>
                      <m:deg/>
                      <m:e>
                        <m:r>
                          <w:rPr>
                            <w:rFonts w:ascii="Cambria Math" w:hAnsi="Cambria Math"/>
                          </w:rPr>
                          <m:t>n</m:t>
                        </m:r>
                      </m:e>
                    </m:rad>
                    <m:r>
                      <w:rPr>
                        <w:rFonts w:ascii="Cambria Math" w:hAnsi="Cambria Math"/>
                      </w:rPr>
                      <m:t>-8.44η</m:t>
                    </m:r>
                  </m:e>
                </m:d>
                <m:r>
                  <w:rPr>
                    <w:rFonts w:ascii="Cambria Math" w:hAnsi="Cambria Math"/>
                  </w:rPr>
                  <m:t xml:space="preserve"> </m:t>
                </m:r>
              </m:oMath>
            </m:oMathPara>
          </w:p>
          <w:p w:rsidR="00101C13" w:rsidRDefault="00101C13" w:rsidP="00101C13">
            <w:pPr>
              <w:keepNext/>
              <w:suppressAutoHyphens/>
              <w:overflowPunct w:val="0"/>
              <w:autoSpaceDE w:val="0"/>
              <w:autoSpaceDN w:val="0"/>
              <w:adjustRightInd w:val="0"/>
              <w:ind w:firstLine="357"/>
              <w:jc w:val="both"/>
              <w:rPr>
                <w:kern w:val="14"/>
                <w:lang w:val="en-US"/>
              </w:rPr>
            </w:pPr>
            <m:oMathPara>
              <m:oMathParaPr>
                <m:jc m:val="left"/>
              </m:oMathParaPr>
              <m:oMath>
                <m:d>
                  <m:dPr>
                    <m:ctrlPr>
                      <w:rPr>
                        <w:rFonts w:ascii="Cambria Math" w:hAnsi="Cambria Math"/>
                        <w:i/>
                        <w:kern w:val="14"/>
                        <w:lang w:val="en-US"/>
                      </w:rPr>
                    </m:ctrlPr>
                  </m:dPr>
                  <m:e>
                    <m:r>
                      <w:rPr>
                        <w:rFonts w:ascii="Cambria Math" w:hAnsi="Cambria Math"/>
                      </w:rPr>
                      <m:t>-0.836+0.733η+0.0483ξ+</m:t>
                    </m:r>
                    <m:f>
                      <m:fPr>
                        <m:ctrlPr>
                          <w:rPr>
                            <w:rFonts w:ascii="Cambria Math" w:hAnsi="Cambria Math"/>
                            <w:i/>
                            <w:kern w:val="14"/>
                            <w:lang w:val="en-US"/>
                          </w:rPr>
                        </m:ctrlPr>
                      </m:fPr>
                      <m:num>
                        <m:r>
                          <w:rPr>
                            <w:rFonts w:ascii="Cambria Math" w:hAnsi="Cambria Math"/>
                          </w:rPr>
                          <m:t>3.49-14.6η-12.9ψ</m:t>
                        </m:r>
                      </m:num>
                      <m:den>
                        <m:r>
                          <w:rPr>
                            <w:rFonts w:ascii="Cambria Math" w:hAnsi="Cambria Math"/>
                          </w:rPr>
                          <m:t>1+</m:t>
                        </m:r>
                        <m:sSup>
                          <m:sSupPr>
                            <m:ctrlPr>
                              <w:rPr>
                                <w:rFonts w:ascii="Cambria Math" w:hAnsi="Cambria Math"/>
                                <w:i/>
                                <w:kern w:val="14"/>
                                <w:lang w:val="en-US"/>
                              </w:rPr>
                            </m:ctrlPr>
                          </m:sSupPr>
                          <m:e>
                            <m:r>
                              <w:rPr>
                                <w:rFonts w:ascii="Cambria Math" w:hAnsi="Cambria Math"/>
                              </w:rPr>
                              <m:t>ξ</m:t>
                            </m:r>
                          </m:e>
                          <m:sup>
                            <m:r>
                              <w:rPr>
                                <w:rFonts w:ascii="Cambria Math" w:hAnsi="Cambria Math"/>
                              </w:rPr>
                              <m:t>1.84</m:t>
                            </m:r>
                          </m:sup>
                        </m:sSup>
                      </m:den>
                    </m:f>
                  </m:e>
                </m:d>
              </m:oMath>
            </m:oMathPara>
          </w:p>
        </w:tc>
        <w:tc>
          <w:tcPr>
            <w:tcW w:w="450" w:type="dxa"/>
            <w:vAlign w:val="center"/>
            <w:hideMark/>
          </w:tcPr>
          <w:p w:rsidR="00101C13" w:rsidRDefault="00101C13" w:rsidP="00101C13">
            <w:pPr>
              <w:suppressAutoHyphens/>
              <w:overflowPunct w:val="0"/>
              <w:autoSpaceDE w:val="0"/>
              <w:autoSpaceDN w:val="0"/>
              <w:adjustRightInd w:val="0"/>
              <w:ind w:firstLine="357"/>
              <w:jc w:val="right"/>
              <w:rPr>
                <w:kern w:val="14"/>
                <w:lang w:val="en-US"/>
              </w:rPr>
            </w:pPr>
            <w:bookmarkStart w:id="8" w:name="_Ref316948428"/>
            <w:r>
              <w:t xml:space="preserve"> (</w:t>
            </w:r>
            <w:r>
              <w:fldChar w:fldCharType="begin"/>
            </w:r>
            <w:r>
              <w:instrText xml:space="preserve"> SEQ Equation \* ARABIC </w:instrText>
            </w:r>
            <w:r>
              <w:fldChar w:fldCharType="separate"/>
            </w:r>
            <w:r>
              <w:rPr>
                <w:noProof/>
              </w:rPr>
              <w:t>3</w:t>
            </w:r>
            <w:r>
              <w:fldChar w:fldCharType="end"/>
            </w:r>
            <w:r>
              <w:t>)</w:t>
            </w:r>
            <w:bookmarkEnd w:id="8"/>
          </w:p>
        </w:tc>
      </w:tr>
      <w:tr w:rsidR="00101C13" w:rsidTr="00101C13">
        <w:tc>
          <w:tcPr>
            <w:tcW w:w="4896" w:type="dxa"/>
            <w:vAlign w:val="center"/>
            <w:hideMark/>
          </w:tcPr>
          <w:p w:rsidR="00101C13" w:rsidRDefault="00101C13" w:rsidP="00101C13">
            <w:pPr>
              <w:keepNext/>
              <w:suppressAutoHyphens/>
              <w:overflowPunct w:val="0"/>
              <w:autoSpaceDE w:val="0"/>
              <w:autoSpaceDN w:val="0"/>
              <w:adjustRightInd w:val="0"/>
              <w:ind w:firstLine="357"/>
              <w:jc w:val="center"/>
              <w:rPr>
                <w:kern w:val="14"/>
                <w:lang w:val="en-US"/>
              </w:rPr>
            </w:pPr>
            <m:oMathPara>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(δ, ξ, η, λ, ψ, t)</m:t>
                </m:r>
              </m:oMath>
            </m:oMathPara>
          </w:p>
        </w:tc>
        <w:tc>
          <w:tcPr>
            <w:tcW w:w="450" w:type="dxa"/>
            <w:vAlign w:val="center"/>
            <w:hideMark/>
          </w:tcPr>
          <w:p w:rsidR="00101C13" w:rsidRDefault="00101C13" w:rsidP="00101C13">
            <w:pPr>
              <w:suppressAutoHyphens/>
              <w:overflowPunct w:val="0"/>
              <w:autoSpaceDE w:val="0"/>
              <w:autoSpaceDN w:val="0"/>
              <w:adjustRightInd w:val="0"/>
              <w:ind w:firstLine="357"/>
              <w:jc w:val="center"/>
              <w:rPr>
                <w:kern w:val="14"/>
                <w:lang w:val="en-US"/>
              </w:rPr>
            </w:pPr>
            <w:r>
              <w:t xml:space="preserve"> (</w:t>
            </w:r>
            <w:r>
              <w:fldChar w:fldCharType="begin"/>
            </w:r>
            <w:r>
              <w:instrText xml:space="preserve"> SEQ Equation \* ARABIC </w:instrText>
            </w:r>
            <w:r>
              <w:fldChar w:fldCharType="separate"/>
            </w:r>
            <w:r>
              <w:rPr>
                <w:noProof/>
              </w:rPr>
              <w:t>4</w:t>
            </w:r>
            <w:r>
              <w:rPr>
                <w:noProof/>
              </w:rPr>
              <w:fldChar w:fldCharType="end"/>
            </w:r>
            <w:r>
              <w:t>)</w:t>
            </w:r>
          </w:p>
        </w:tc>
      </w:tr>
    </w:tbl>
    <w:p w:rsidR="00101C13" w:rsidRDefault="00101C13" w:rsidP="00101C13">
      <w:pPr>
        <w:rPr>
          <w:kern w:val="14"/>
          <w:sz w:val="20"/>
          <w:szCs w:val="20"/>
          <w:lang w:val="en-US"/>
        </w:rPr>
      </w:pPr>
    </w:p>
    <w:p w:rsidR="00101C13" w:rsidRDefault="00101C13" w:rsidP="00101C13">
      <w:pPr>
        <w:pStyle w:val="AcknowledgmentsClauseTitle"/>
      </w:pPr>
      <w:r>
        <w:t>AnaLYSIS OF THE TENSILE STRAIN CAPACITY PREDICTION EQUATIONS</w:t>
      </w:r>
    </w:p>
    <w:p w:rsidR="00101C13" w:rsidRDefault="00101C13" w:rsidP="00101C13">
      <w:pPr>
        <w:ind w:firstLine="357"/>
      </w:pPr>
      <w:r>
        <w:t xml:space="preserve">Surface breaking defects and buried defects are analysed using equations </w:t>
      </w:r>
      <w:r>
        <w:fldChar w:fldCharType="begin"/>
      </w:r>
      <w:r>
        <w:instrText xml:space="preserve"> REF _Ref316948409 \h  \* MERGEFORMAT </w:instrText>
      </w:r>
      <w:r>
        <w:fldChar w:fldCharType="separate"/>
      </w:r>
      <w:r>
        <w:t>(</w:t>
      </w:r>
      <w:r>
        <w:rPr>
          <w:noProof/>
        </w:rPr>
        <w:t>1</w:t>
      </w:r>
      <w:r>
        <w:t>)</w:t>
      </w:r>
      <w:r>
        <w:fldChar w:fldCharType="end"/>
      </w:r>
      <w:r>
        <w:t xml:space="preserve"> and </w:t>
      </w:r>
      <w:r>
        <w:fldChar w:fldCharType="begin"/>
      </w:r>
      <w:r>
        <w:instrText xml:space="preserve"> REF _Ref316948428 \h  \* MERGEFORMAT </w:instrText>
      </w:r>
      <w:r>
        <w:fldChar w:fldCharType="separate"/>
      </w:r>
      <w:r>
        <w:t>(</w:t>
      </w:r>
      <w:r>
        <w:rPr>
          <w:noProof/>
        </w:rPr>
        <w:t>3</w:t>
      </w:r>
      <w:r>
        <w:t>)</w:t>
      </w:r>
      <w:r>
        <w:fldChar w:fldCharType="end"/>
      </w:r>
      <w:r>
        <w:t xml:space="preserve"> respectively. In the analysis of surface breaking defects the prediction of Eq. </w:t>
      </w:r>
      <w:r>
        <w:fldChar w:fldCharType="begin"/>
      </w:r>
      <w:r>
        <w:instrText xml:space="preserve"> REF _Ref316948409 \h  \* MERGEFORMAT </w:instrText>
      </w:r>
      <w:r>
        <w:fldChar w:fldCharType="separate"/>
      </w:r>
      <w:r>
        <w:t>(</w:t>
      </w:r>
      <w:r>
        <w:rPr>
          <w:noProof/>
        </w:rPr>
        <w:t>1</w:t>
      </w:r>
      <w:r>
        <w:t>)</w:t>
      </w:r>
      <w:r>
        <w:fldChar w:fldCharType="end"/>
      </w:r>
      <w:r>
        <w:t xml:space="preserve"> has been compared with the prediction of another tensile strain capacity </w:t>
      </w:r>
      <w:proofErr w:type="gramStart"/>
      <w:r>
        <w:t>equation  developed</w:t>
      </w:r>
      <w:proofErr w:type="gramEnd"/>
      <w:r>
        <w:t xml:space="preserve"> in </w:t>
      </w:r>
      <w:r>
        <w:fldChar w:fldCharType="begin"/>
      </w:r>
      <w:r>
        <w:instrText xml:space="preserve"> REF PRCI \h  \* MERGEFORMAT </w:instrText>
      </w:r>
      <w:r>
        <w:fldChar w:fldCharType="separate"/>
      </w:r>
      <w:r>
        <w:t>[2]</w:t>
      </w:r>
      <w:r>
        <w:fldChar w:fldCharType="end"/>
      </w:r>
      <w:r>
        <w:t xml:space="preserve">and the comparison is visualized using surface plots in </w:t>
      </w:r>
      <w:r>
        <w:fldChar w:fldCharType="begin"/>
      </w:r>
      <w:r>
        <w:instrText xml:space="preserve"> REF _Ref316976867 \h  \* MERGEFORMAT </w:instrText>
      </w:r>
      <w:r>
        <w:fldChar w:fldCharType="separate"/>
      </w:r>
      <w:r>
        <w:t xml:space="preserve">Figure </w:t>
      </w:r>
      <w:r>
        <w:rPr>
          <w:noProof/>
        </w:rPr>
        <w:t>3</w:t>
      </w:r>
      <w:r>
        <w:fldChar w:fldCharType="end"/>
      </w:r>
      <w:r>
        <w:t xml:space="preserve"> and </w:t>
      </w:r>
      <w:r>
        <w:fldChar w:fldCharType="begin"/>
      </w:r>
      <w:r>
        <w:instrText xml:space="preserve"> REF _Ref317826580 \h  \* MERGEFORMAT </w:instrText>
      </w:r>
      <w:r>
        <w:fldChar w:fldCharType="separate"/>
      </w:r>
      <w:r>
        <w:t xml:space="preserve">Figure </w:t>
      </w:r>
      <w:r>
        <w:rPr>
          <w:noProof/>
        </w:rPr>
        <w:t>4</w:t>
      </w:r>
      <w:r>
        <w:fldChar w:fldCharType="end"/>
      </w:r>
      <w:r>
        <w:t xml:space="preserve"> . On these surface plots the variation of the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 with changing defect geometry for constant material properties has been visualized.</w:t>
      </w:r>
    </w:p>
    <w:p w:rsidR="00101C13" w:rsidRDefault="00101C13" w:rsidP="00101C13">
      <w:pPr>
        <w:ind w:firstLine="357"/>
      </w:pPr>
      <w:r>
        <w:t xml:space="preserve">The variation of the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 predicted by Eq. </w:t>
      </w:r>
      <w:r>
        <w:fldChar w:fldCharType="begin"/>
      </w:r>
      <w:r>
        <w:instrText xml:space="preserve"> REF _Ref316948409 \h </w:instrText>
      </w:r>
      <w:r>
        <w:fldChar w:fldCharType="separate"/>
      </w:r>
      <w:r>
        <w:t>(</w:t>
      </w:r>
      <w:r>
        <w:rPr>
          <w:noProof/>
        </w:rPr>
        <w:t>1</w:t>
      </w:r>
      <w:r>
        <w:t>)</w:t>
      </w:r>
      <w:r>
        <w:fldChar w:fldCharType="end"/>
      </w:r>
      <w:r>
        <w:t xml:space="preserve"> with changing material toughness and changing Y/T ratio for constant geometric parameters has been investigated separately using the curves in </w:t>
      </w:r>
      <w:r>
        <w:fldChar w:fldCharType="begin"/>
      </w:r>
      <w:r>
        <w:instrText xml:space="preserve"> REF _Ref318869894 \h  \* MERGEFORMAT </w:instrText>
      </w:r>
      <w:r>
        <w:fldChar w:fldCharType="separate"/>
      </w:r>
      <w:r>
        <w:t xml:space="preserve">Figure </w:t>
      </w:r>
      <w:r>
        <w:rPr>
          <w:noProof/>
        </w:rPr>
        <w:t>5</w:t>
      </w:r>
      <w:r>
        <w:fldChar w:fldCharType="end"/>
      </w:r>
      <w:r>
        <w:t xml:space="preserve">. This analysis has been carried out for three different values of </w:t>
      </w:r>
      <m:oMath>
        <m:r>
          <w:rPr>
            <w:rFonts w:ascii="Cambria Math" w:hAnsi="Cambria Math"/>
          </w:rPr>
          <m:t>ξ</m:t>
        </m:r>
      </m:oMath>
      <w:r>
        <w:t xml:space="preserve"> and the results have been compared. The percent change in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has been plotted with respect to the percent change in apparent CTOD toughness and percent change in Y/T ratio for three different values of </w:t>
      </w:r>
      <m:oMath>
        <m:r>
          <w:rPr>
            <w:rFonts w:ascii="Cambria Math" w:hAnsi="Cambria Math"/>
          </w:rPr>
          <m:t>ξ</m:t>
        </m:r>
      </m:oMath>
      <w:r>
        <w:t xml:space="preserve">. </w:t>
      </w:r>
    </w:p>
    <w:p w:rsidR="00101C13" w:rsidRDefault="00101C13" w:rsidP="00101C13">
      <w:pPr>
        <w:ind w:firstLine="357"/>
      </w:pPr>
      <w:r>
        <w:t xml:space="preserve">In the next step of the analysis </w:t>
      </w:r>
      <w:proofErr w:type="gramStart"/>
      <w:r>
        <w:t xml:space="preserve">a </w:t>
      </w:r>
      <m:oMath>
        <m:sSup>
          <m:sSupPr>
            <m:ctrlPr>
              <w:rPr>
                <w:rFonts w:ascii="Cambria Math" w:hAnsi="Cambria Math"/>
                <w:i/>
                <w:kern w:val="14"/>
                <w:lang w:val="en-US"/>
              </w:rPr>
            </m:ctrlPr>
          </m:sSupPr>
          <m:e>
            <m:r>
              <w:rPr>
                <w:rFonts w:ascii="Cambria Math" w:hAnsi="Cambria Math"/>
              </w:rPr>
              <m:t>3</m:t>
            </m:r>
          </m:e>
          <m:sup>
            <m:r>
              <w:rPr>
                <w:rFonts w:ascii="Cambria Math" w:hAnsi="Cambria Math"/>
              </w:rPr>
              <m:t>4</m:t>
            </m:r>
          </m:sup>
        </m:sSup>
      </m:oMath>
      <w:r>
        <w:t xml:space="preserve"> and</w:t>
      </w:r>
      <w:proofErr w:type="gramEnd"/>
      <w:r>
        <w:t xml:space="preserve"> </w:t>
      </w:r>
      <m:oMath>
        <m:sSup>
          <m:sSupPr>
            <m:ctrlPr>
              <w:rPr>
                <w:rFonts w:ascii="Cambria Math" w:hAnsi="Cambria Math"/>
                <w:i/>
                <w:kern w:val="14"/>
                <w:lang w:val="en-US"/>
              </w:rPr>
            </m:ctrlPr>
          </m:sSupPr>
          <m:e>
            <m:r>
              <w:rPr>
                <w:rFonts w:ascii="Cambria Math" w:hAnsi="Cambria Math"/>
              </w:rPr>
              <m:t>3</m:t>
            </m:r>
          </m:e>
          <m:sup>
            <m:r>
              <w:rPr>
                <w:rFonts w:ascii="Cambria Math" w:hAnsi="Cambria Math"/>
              </w:rPr>
              <m:t>6</m:t>
            </m:r>
          </m:sup>
        </m:sSup>
      </m:oMath>
      <w:r>
        <w:t xml:space="preserve"> full factorial experimental design was conducted for the planar surface</w:t>
      </w:r>
      <w:r>
        <w:rPr>
          <w:rFonts w:ascii="Cambria Math" w:hAnsi="Cambria Math" w:cs="Cambria Math"/>
        </w:rPr>
        <w:t>‐</w:t>
      </w:r>
      <w:r>
        <w:t xml:space="preserve">breaking </w:t>
      </w:r>
      <w:r>
        <w:lastRenderedPageBreak/>
        <w:t xml:space="preserve">defect and the planar buried defect respectively based on the equations in the CSA code. This experimental design was adapted from the book of Montgomery, D </w:t>
      </w:r>
      <w:r>
        <w:fldChar w:fldCharType="begin"/>
      </w:r>
      <w:r>
        <w:instrText xml:space="preserve"> REF montgomery \h </w:instrText>
      </w:r>
      <w:r>
        <w:fldChar w:fldCharType="separate"/>
      </w:r>
      <w:r>
        <w:t xml:space="preserve">[8] </w:t>
      </w:r>
      <w:r>
        <w:fldChar w:fldCharType="end"/>
      </w:r>
      <w:r>
        <w:t xml:space="preserve">which gives information about factorial designs that can be used to investigate the effects of two or more factors where each effecting factor has different levels on a particular quantity for all possible combinations of the levels of the factors. The full factorial experimental designs made it possible to visualize the effect of each parameter on the tensile strain capacity by taking the average of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evaluated at the low, intermediate and high value of the range defined for each parameter by all possible combinations of the rest of the parameters and later g</w:t>
      </w:r>
      <w:proofErr w:type="spellStart"/>
      <w:r>
        <w:t>enerating</w:t>
      </w:r>
      <w:proofErr w:type="spellEnd"/>
      <w:r>
        <w:t xml:space="preserve"> 2 dimensional plots of these average values. The comparison of the 2 dimensional plots for each parameter gives an idea about the sensitivity of the equations </w:t>
      </w:r>
      <w:r>
        <w:fldChar w:fldCharType="begin"/>
      </w:r>
      <w:r>
        <w:instrText xml:space="preserve"> REF _Ref316948409 \h </w:instrText>
      </w:r>
      <w:r>
        <w:fldChar w:fldCharType="separate"/>
      </w:r>
      <w:r>
        <w:t>(</w:t>
      </w:r>
      <w:r>
        <w:rPr>
          <w:noProof/>
        </w:rPr>
        <w:t>1</w:t>
      </w:r>
      <w:r>
        <w:t>)</w:t>
      </w:r>
      <w:r>
        <w:fldChar w:fldCharType="end"/>
      </w:r>
      <w:r>
        <w:t xml:space="preserve"> and </w:t>
      </w:r>
      <w:r>
        <w:fldChar w:fldCharType="begin"/>
      </w:r>
      <w:r>
        <w:instrText xml:space="preserve"> REF _Ref316948428 \h </w:instrText>
      </w:r>
      <w:r>
        <w:fldChar w:fldCharType="separate"/>
      </w:r>
      <w:r>
        <w:t>(</w:t>
      </w:r>
      <w:r>
        <w:rPr>
          <w:noProof/>
        </w:rPr>
        <w:t>3</w:t>
      </w:r>
      <w:r>
        <w:t>)</w:t>
      </w:r>
      <w:r>
        <w:fldChar w:fldCharType="end"/>
      </w:r>
      <w:r>
        <w:t xml:space="preserve"> with respect to each parameter. </w:t>
      </w:r>
    </w:p>
    <w:p w:rsidR="00101C13" w:rsidRDefault="00101C13" w:rsidP="00101C13">
      <w:pPr>
        <w:ind w:firstLine="357"/>
      </w:pPr>
      <w:r>
        <w:t xml:space="preserve">In order to apply the experimental design a special algorithm has been developed which traverses all possible values of the defect parameters and material properties in predefined ranges and evaluates the corresponding tensile strain capacities. In order to define the ranges of the parameters the values listed in the CSA Z662.11 code have been applied. These ranges are  </w:t>
      </w:r>
      <m:oMath>
        <m:r>
          <w:rPr>
            <w:rFonts w:ascii="Cambria Math" w:hAnsi="Cambria Math"/>
          </w:rPr>
          <m:t>0.7≤λ≤0.95</m:t>
        </m:r>
      </m:oMath>
      <w:r>
        <w:t xml:space="preserve"> </w:t>
      </w:r>
      <w:proofErr w:type="gramStart"/>
      <w:r>
        <w:t xml:space="preserve">,  </w:t>
      </w:r>
      <m:oMath>
        <m:r>
          <w:rPr>
            <w:rFonts w:ascii="Cambria Math" w:hAnsi="Cambria Math"/>
          </w:rPr>
          <m:t>0.1≤δ≤0.3</m:t>
        </m:r>
      </m:oMath>
      <w:r>
        <w:t xml:space="preserve"> ,</w:t>
      </w:r>
      <w:proofErr w:type="gramEnd"/>
      <w:r>
        <w:t xml:space="preserve"> </w:t>
      </w:r>
      <m:oMath>
        <m:r>
          <w:rPr>
            <w:rFonts w:ascii="Cambria Math" w:hAnsi="Cambria Math"/>
          </w:rPr>
          <m:t>1≤ξ≤10</m:t>
        </m:r>
      </m:oMath>
      <w:r>
        <w:t xml:space="preserve"> and </w:t>
      </w:r>
      <m:oMath>
        <m:r>
          <w:rPr>
            <w:rFonts w:ascii="Cambria Math" w:hAnsi="Cambria Math"/>
          </w:rPr>
          <m:t>η≤0.5</m:t>
        </m:r>
      </m:oMath>
      <w:r>
        <w:t xml:space="preserve">. Since the lower limit of </w:t>
      </w:r>
      <m:oMath>
        <m:r>
          <w:rPr>
            <w:rFonts w:ascii="Cambria Math" w:hAnsi="Cambria Math"/>
          </w:rPr>
          <m:t>η</m:t>
        </m:r>
      </m:oMath>
      <w:r>
        <w:t xml:space="preserve"> was not given it was set at 0.1 since for </w:t>
      </w:r>
      <m:oMath>
        <m:r>
          <w:rPr>
            <w:rFonts w:ascii="Cambria Math" w:hAnsi="Cambria Math"/>
          </w:rPr>
          <m:t>η</m:t>
        </m:r>
      </m:oMath>
      <w:r>
        <w:t xml:space="preserve"> values lower than 0.1 the crack size is negligible. Also impractically high values are predicted for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at values for </w:t>
      </w:r>
      <m:oMath>
        <m:r>
          <w:rPr>
            <w:rFonts w:ascii="Cambria Math" w:hAnsi="Cambria Math"/>
          </w:rPr>
          <m:t>η</m:t>
        </m:r>
      </m:oMath>
      <w:r>
        <w:t xml:space="preserve"> l</w:t>
      </w:r>
      <w:proofErr w:type="spellStart"/>
      <w:r>
        <w:t>ower</w:t>
      </w:r>
      <w:proofErr w:type="spellEnd"/>
      <w:r>
        <w:t xml:space="preserve"> than 0.1. Also, since for the variable </w:t>
      </w:r>
      <m:oMath>
        <m:r>
          <w:rPr>
            <w:rFonts w:ascii="Cambria Math" w:hAnsi="Cambria Math"/>
          </w:rPr>
          <m:t>ψ</m:t>
        </m:r>
      </m:oMath>
      <w:r>
        <w:t xml:space="preserve"> no bounded range is defined in the code, an upper and lower bound in the same order of magnitude as </w:t>
      </w:r>
      <m:oMath>
        <m:r>
          <w:rPr>
            <w:rFonts w:ascii="Cambria Math" w:hAnsi="Cambria Math"/>
          </w:rPr>
          <m:t>η</m:t>
        </m:r>
      </m:oMath>
      <w:r>
        <w:t xml:space="preserve"> have been assumed which guarantees that the flaw is always buried within the pipe wall. For the pipe wall thickness, the values range from 12.7 [mm] to 25.4 [mm] which is the range of wall thickness investigated </w:t>
      </w:r>
      <w:r>
        <w:lastRenderedPageBreak/>
        <w:t xml:space="preserve">in </w:t>
      </w:r>
      <w:r>
        <w:fldChar w:fldCharType="begin"/>
      </w:r>
      <w:r>
        <w:instrText xml:space="preserve"> REF PRCI \h </w:instrText>
      </w:r>
      <w:r>
        <w:fldChar w:fldCharType="separate"/>
      </w:r>
      <w:r>
        <w:t>[2]</w:t>
      </w:r>
      <w:r>
        <w:fldChar w:fldCharType="end"/>
      </w:r>
      <w:r>
        <w:t xml:space="preserve">.  </w:t>
      </w:r>
      <w:r>
        <w:fldChar w:fldCharType="begin"/>
      </w:r>
      <w:r>
        <w:instrText xml:space="preserve"> REF _Ref317366754 \h  \* MERGEFORMAT </w:instrText>
      </w:r>
      <w:r>
        <w:fldChar w:fldCharType="separate"/>
      </w:r>
      <w:r>
        <w:t xml:space="preserve">Table </w:t>
      </w:r>
      <w:r>
        <w:rPr>
          <w:noProof/>
        </w:rPr>
        <w:t>1</w:t>
      </w:r>
      <w:r>
        <w:fldChar w:fldCharType="end"/>
      </w:r>
      <w:r>
        <w:t xml:space="preserve"> and </w:t>
      </w:r>
      <w:r>
        <w:fldChar w:fldCharType="begin"/>
      </w:r>
      <w:r>
        <w:instrText xml:space="preserve"> REF _Ref317366763 \h  \* MERGEFORMAT </w:instrText>
      </w:r>
      <w:r>
        <w:fldChar w:fldCharType="separate"/>
      </w:r>
      <w:r>
        <w:t xml:space="preserve">Table </w:t>
      </w:r>
      <w:r>
        <w:rPr>
          <w:noProof/>
        </w:rPr>
        <w:t>2</w:t>
      </w:r>
      <w:r>
        <w:fldChar w:fldCharType="end"/>
      </w:r>
      <w:r>
        <w:t xml:space="preserve"> summarize the parameter ranges for the planar surface-breaking defect and the planar buried defect equations respectively. </w:t>
      </w:r>
    </w:p>
    <w:p w:rsidR="00101C13" w:rsidRDefault="00101C13" w:rsidP="00101C13">
      <w:pPr>
        <w:rPr>
          <w:sz w:val="24"/>
          <w:szCs w:val="24"/>
        </w:rPr>
      </w:pPr>
    </w:p>
    <w:p w:rsidR="00101C13" w:rsidRDefault="00101C13" w:rsidP="00101C13">
      <w:pPr>
        <w:pStyle w:val="Caption"/>
        <w:keepNext/>
        <w:jc w:val="center"/>
        <w:rPr>
          <w:rFonts w:ascii="Times New Roman" w:hAnsi="Times New Roman" w:cs="Times New Roman"/>
        </w:rPr>
      </w:pPr>
      <w:bookmarkStart w:id="9" w:name="_Ref317366754"/>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1</w:t>
      </w:r>
      <w:r>
        <w:fldChar w:fldCharType="end"/>
      </w:r>
      <w:bookmarkEnd w:id="9"/>
      <w:r>
        <w:rPr>
          <w:rFonts w:ascii="Times New Roman" w:hAnsi="Times New Roman" w:cs="Times New Roman"/>
        </w:rPr>
        <w:t>: Ranges of parameters for planar surface-breaking defect (Minimum, middle, maximum)</w:t>
      </w:r>
    </w:p>
    <w:tbl>
      <w:tblPr>
        <w:tblW w:w="3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470"/>
      </w:tblGrid>
      <w:tr w:rsidR="00101C13" w:rsidTr="00101C13">
        <w:trPr>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101C13" w:rsidRDefault="00101C13" w:rsidP="00101C13">
            <w:pPr>
              <w:suppressAutoHyphens/>
              <w:overflowPunct w:val="0"/>
              <w:autoSpaceDE w:val="0"/>
              <w:autoSpaceDN w:val="0"/>
              <w:adjustRightInd w:val="0"/>
              <w:jc w:val="center"/>
              <w:rPr>
                <w:kern w:val="14"/>
                <w:lang w:val="en-US"/>
              </w:rPr>
            </w:pPr>
            <m:oMath>
              <m:r>
                <w:rPr>
                  <w:rFonts w:ascii="Cambria Math" w:hAnsi="Cambria Math"/>
                </w:rPr>
                <m:t>δ</m:t>
              </m:r>
            </m:oMath>
            <w:r>
              <w:t xml:space="preserve"> (mm)</w:t>
            </w:r>
          </w:p>
        </w:tc>
        <w:tc>
          <w:tcPr>
            <w:tcW w:w="2470" w:type="dxa"/>
            <w:tcBorders>
              <w:top w:val="single" w:sz="4" w:space="0" w:color="auto"/>
              <w:left w:val="single" w:sz="4" w:space="0" w:color="auto"/>
              <w:bottom w:val="single" w:sz="4" w:space="0" w:color="auto"/>
              <w:right w:val="single" w:sz="4" w:space="0" w:color="auto"/>
            </w:tcBorders>
            <w:vAlign w:val="center"/>
            <w:hideMark/>
          </w:tcPr>
          <w:p w:rsidR="00101C13" w:rsidRDefault="00101C13" w:rsidP="00101C13">
            <w:pPr>
              <w:suppressAutoHyphens/>
              <w:overflowPunct w:val="0"/>
              <w:autoSpaceDE w:val="0"/>
              <w:autoSpaceDN w:val="0"/>
              <w:adjustRightInd w:val="0"/>
              <w:jc w:val="center"/>
              <w:rPr>
                <w:kern w:val="14"/>
                <w:lang w:val="en-US"/>
              </w:rPr>
            </w:pPr>
            <w:r>
              <w:rPr>
                <w:rFonts w:cs="Calibri"/>
              </w:rPr>
              <w:t>(0.1, 0.2, 0.3)</w:t>
            </w:r>
          </w:p>
        </w:tc>
      </w:tr>
      <w:tr w:rsidR="00101C13" w:rsidTr="00101C13">
        <w:trPr>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101C13" w:rsidRDefault="00101C13" w:rsidP="00101C13">
            <w:pPr>
              <w:suppressAutoHyphens/>
              <w:overflowPunct w:val="0"/>
              <w:autoSpaceDE w:val="0"/>
              <w:autoSpaceDN w:val="0"/>
              <w:adjustRightInd w:val="0"/>
              <w:jc w:val="center"/>
              <w:rPr>
                <w:kern w:val="14"/>
                <w:lang w:val="en-US"/>
              </w:rPr>
            </w:pPr>
            <m:oMathPara>
              <m:oMath>
                <m:r>
                  <w:rPr>
                    <w:rFonts w:ascii="Cambria Math" w:hAnsi="Cambria Math"/>
                  </w:rPr>
                  <m:t>η</m:t>
                </m:r>
              </m:oMath>
            </m:oMathPara>
          </w:p>
        </w:tc>
        <w:tc>
          <w:tcPr>
            <w:tcW w:w="2470" w:type="dxa"/>
            <w:tcBorders>
              <w:top w:val="single" w:sz="4" w:space="0" w:color="auto"/>
              <w:left w:val="single" w:sz="4" w:space="0" w:color="auto"/>
              <w:bottom w:val="single" w:sz="4" w:space="0" w:color="auto"/>
              <w:right w:val="single" w:sz="4" w:space="0" w:color="auto"/>
            </w:tcBorders>
            <w:vAlign w:val="center"/>
            <w:hideMark/>
          </w:tcPr>
          <w:p w:rsidR="00101C13" w:rsidRDefault="00101C13" w:rsidP="00101C13">
            <w:pPr>
              <w:suppressAutoHyphens/>
              <w:overflowPunct w:val="0"/>
              <w:autoSpaceDE w:val="0"/>
              <w:autoSpaceDN w:val="0"/>
              <w:adjustRightInd w:val="0"/>
              <w:jc w:val="center"/>
              <w:rPr>
                <w:kern w:val="14"/>
                <w:lang w:val="en-US"/>
              </w:rPr>
            </w:pPr>
            <w:r>
              <w:rPr>
                <w:rFonts w:cs="Calibri"/>
              </w:rPr>
              <w:t>(0.1, 0.3, 0.5)</w:t>
            </w:r>
          </w:p>
        </w:tc>
      </w:tr>
      <w:tr w:rsidR="00101C13" w:rsidTr="00101C13">
        <w:trPr>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101C13" w:rsidRDefault="00101C13" w:rsidP="00101C13">
            <w:pPr>
              <w:suppressAutoHyphens/>
              <w:overflowPunct w:val="0"/>
              <w:autoSpaceDE w:val="0"/>
              <w:autoSpaceDN w:val="0"/>
              <w:adjustRightInd w:val="0"/>
              <w:jc w:val="center"/>
              <w:rPr>
                <w:kern w:val="14"/>
                <w:lang w:val="en-US"/>
              </w:rPr>
            </w:pPr>
            <m:oMathPara>
              <m:oMath>
                <m:r>
                  <w:rPr>
                    <w:rFonts w:ascii="Cambria Math" w:hAnsi="Cambria Math"/>
                  </w:rPr>
                  <m:t>λ</m:t>
                </m:r>
              </m:oMath>
            </m:oMathPara>
          </w:p>
        </w:tc>
        <w:tc>
          <w:tcPr>
            <w:tcW w:w="2470" w:type="dxa"/>
            <w:tcBorders>
              <w:top w:val="single" w:sz="4" w:space="0" w:color="auto"/>
              <w:left w:val="single" w:sz="4" w:space="0" w:color="auto"/>
              <w:bottom w:val="single" w:sz="4" w:space="0" w:color="auto"/>
              <w:right w:val="single" w:sz="4" w:space="0" w:color="auto"/>
            </w:tcBorders>
            <w:vAlign w:val="center"/>
            <w:hideMark/>
          </w:tcPr>
          <w:p w:rsidR="00101C13" w:rsidRDefault="00101C13" w:rsidP="00101C13">
            <w:pPr>
              <w:suppressAutoHyphens/>
              <w:overflowPunct w:val="0"/>
              <w:autoSpaceDE w:val="0"/>
              <w:autoSpaceDN w:val="0"/>
              <w:adjustRightInd w:val="0"/>
              <w:jc w:val="center"/>
              <w:rPr>
                <w:kern w:val="14"/>
                <w:lang w:val="en-US"/>
              </w:rPr>
            </w:pPr>
            <w:r>
              <w:rPr>
                <w:rFonts w:cs="Calibri"/>
              </w:rPr>
              <w:t>(0.7, 0.825, 0.95)</w:t>
            </w:r>
          </w:p>
        </w:tc>
      </w:tr>
      <w:tr w:rsidR="00101C13" w:rsidTr="00101C13">
        <w:trPr>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101C13" w:rsidRDefault="00101C13" w:rsidP="00101C13">
            <w:pPr>
              <w:suppressAutoHyphens/>
              <w:overflowPunct w:val="0"/>
              <w:autoSpaceDE w:val="0"/>
              <w:autoSpaceDN w:val="0"/>
              <w:adjustRightInd w:val="0"/>
              <w:jc w:val="center"/>
              <w:rPr>
                <w:kern w:val="14"/>
                <w:lang w:val="en-US"/>
              </w:rPr>
            </w:pPr>
            <m:oMathPara>
              <m:oMath>
                <m:r>
                  <w:rPr>
                    <w:rFonts w:ascii="Cambria Math" w:hAnsi="Cambria Math"/>
                  </w:rPr>
                  <m:t>ξ</m:t>
                </m:r>
              </m:oMath>
            </m:oMathPara>
          </w:p>
        </w:tc>
        <w:tc>
          <w:tcPr>
            <w:tcW w:w="2470" w:type="dxa"/>
            <w:tcBorders>
              <w:top w:val="single" w:sz="4" w:space="0" w:color="auto"/>
              <w:left w:val="single" w:sz="4" w:space="0" w:color="auto"/>
              <w:bottom w:val="single" w:sz="4" w:space="0" w:color="auto"/>
              <w:right w:val="single" w:sz="4" w:space="0" w:color="auto"/>
            </w:tcBorders>
            <w:vAlign w:val="center"/>
            <w:hideMark/>
          </w:tcPr>
          <w:p w:rsidR="00101C13" w:rsidRDefault="00101C13" w:rsidP="00101C13">
            <w:pPr>
              <w:suppressAutoHyphens/>
              <w:overflowPunct w:val="0"/>
              <w:autoSpaceDE w:val="0"/>
              <w:autoSpaceDN w:val="0"/>
              <w:adjustRightInd w:val="0"/>
              <w:jc w:val="center"/>
              <w:rPr>
                <w:kern w:val="14"/>
                <w:lang w:val="en-US"/>
              </w:rPr>
            </w:pPr>
            <w:r>
              <w:rPr>
                <w:rFonts w:cs="Calibri"/>
              </w:rPr>
              <w:t>(1, 5.5, 10)</w:t>
            </w:r>
          </w:p>
        </w:tc>
      </w:tr>
    </w:tbl>
    <w:p w:rsidR="00101C13" w:rsidRDefault="00101C13" w:rsidP="00101C13">
      <w:pPr>
        <w:rPr>
          <w:rFonts w:ascii="Times New Roman" w:hAnsi="Times New Roman" w:cs="Times New Roman"/>
          <w:kern w:val="14"/>
          <w:sz w:val="20"/>
          <w:szCs w:val="20"/>
          <w:lang w:val="en-US"/>
        </w:rPr>
      </w:pPr>
    </w:p>
    <w:p w:rsidR="00101C13" w:rsidRDefault="00101C13" w:rsidP="00101C13"/>
    <w:p w:rsidR="00101C13" w:rsidRDefault="00101C13" w:rsidP="00101C13">
      <w:pPr>
        <w:pStyle w:val="Caption"/>
        <w:keepNext/>
        <w:jc w:val="center"/>
        <w:rPr>
          <w:rFonts w:ascii="Times New Roman" w:hAnsi="Times New Roman" w:cs="Times New Roman"/>
        </w:rPr>
      </w:pPr>
      <w:bookmarkStart w:id="10" w:name="_Ref317366763"/>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2</w:t>
      </w:r>
      <w:r>
        <w:fldChar w:fldCharType="end"/>
      </w:r>
      <w:bookmarkEnd w:id="10"/>
      <w:r>
        <w:rPr>
          <w:rFonts w:ascii="Times New Roman" w:hAnsi="Times New Roman" w:cs="Times New Roman"/>
          <w:noProof/>
        </w:rPr>
        <w:t xml:space="preserve">: Ranges of parameters for </w:t>
      </w:r>
      <w:r>
        <w:rPr>
          <w:rFonts w:ascii="Times New Roman" w:hAnsi="Times New Roman" w:cs="Times New Roman"/>
        </w:rPr>
        <w:t>planar buried defect (Minimum, middle, maximum)</w:t>
      </w:r>
    </w:p>
    <w:tbl>
      <w:tblPr>
        <w:tblW w:w="3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2370"/>
      </w:tblGrid>
      <w:tr w:rsidR="00101C13" w:rsidTr="00101C13">
        <w:trPr>
          <w:jc w:val="center"/>
        </w:trPr>
        <w:tc>
          <w:tcPr>
            <w:tcW w:w="1210" w:type="dxa"/>
            <w:tcBorders>
              <w:top w:val="single" w:sz="4" w:space="0" w:color="auto"/>
              <w:left w:val="single" w:sz="4" w:space="0" w:color="auto"/>
              <w:bottom w:val="single" w:sz="4" w:space="0" w:color="auto"/>
              <w:right w:val="single" w:sz="4" w:space="0" w:color="auto"/>
            </w:tcBorders>
            <w:hideMark/>
          </w:tcPr>
          <w:p w:rsidR="00101C13" w:rsidRDefault="00101C13" w:rsidP="00101C13">
            <w:pPr>
              <w:suppressAutoHyphens/>
              <w:overflowPunct w:val="0"/>
              <w:autoSpaceDE w:val="0"/>
              <w:autoSpaceDN w:val="0"/>
              <w:adjustRightInd w:val="0"/>
              <w:jc w:val="center"/>
              <w:rPr>
                <w:kern w:val="14"/>
                <w:lang w:val="en-US"/>
              </w:rPr>
            </w:pPr>
            <m:oMath>
              <m:r>
                <w:rPr>
                  <w:rFonts w:ascii="Cambria Math" w:hAnsi="Cambria Math"/>
                </w:rPr>
                <m:t>δ</m:t>
              </m:r>
            </m:oMath>
            <w:r>
              <w:t xml:space="preserve"> (mm)</w:t>
            </w:r>
          </w:p>
        </w:tc>
        <w:tc>
          <w:tcPr>
            <w:tcW w:w="2370" w:type="dxa"/>
            <w:tcBorders>
              <w:top w:val="single" w:sz="4" w:space="0" w:color="auto"/>
              <w:left w:val="single" w:sz="4" w:space="0" w:color="auto"/>
              <w:bottom w:val="single" w:sz="4" w:space="0" w:color="auto"/>
              <w:right w:val="single" w:sz="4" w:space="0" w:color="auto"/>
            </w:tcBorders>
            <w:vAlign w:val="center"/>
            <w:hideMark/>
          </w:tcPr>
          <w:p w:rsidR="00101C13" w:rsidRDefault="00101C13" w:rsidP="00101C13">
            <w:pPr>
              <w:suppressAutoHyphens/>
              <w:overflowPunct w:val="0"/>
              <w:autoSpaceDE w:val="0"/>
              <w:autoSpaceDN w:val="0"/>
              <w:adjustRightInd w:val="0"/>
              <w:jc w:val="center"/>
              <w:rPr>
                <w:kern w:val="14"/>
                <w:lang w:val="en-US"/>
              </w:rPr>
            </w:pPr>
            <w:r>
              <w:rPr>
                <w:rFonts w:cs="Calibri"/>
              </w:rPr>
              <w:t>(0.1, 0.2, 0.3)</w:t>
            </w:r>
          </w:p>
        </w:tc>
      </w:tr>
      <w:tr w:rsidR="00101C13" w:rsidTr="00101C13">
        <w:trPr>
          <w:jc w:val="center"/>
        </w:trPr>
        <w:tc>
          <w:tcPr>
            <w:tcW w:w="1210" w:type="dxa"/>
            <w:tcBorders>
              <w:top w:val="single" w:sz="4" w:space="0" w:color="auto"/>
              <w:left w:val="single" w:sz="4" w:space="0" w:color="auto"/>
              <w:bottom w:val="single" w:sz="4" w:space="0" w:color="auto"/>
              <w:right w:val="single" w:sz="4" w:space="0" w:color="auto"/>
            </w:tcBorders>
            <w:hideMark/>
          </w:tcPr>
          <w:p w:rsidR="00101C13" w:rsidRDefault="00101C13" w:rsidP="00101C13">
            <w:pPr>
              <w:suppressAutoHyphens/>
              <w:overflowPunct w:val="0"/>
              <w:autoSpaceDE w:val="0"/>
              <w:autoSpaceDN w:val="0"/>
              <w:adjustRightInd w:val="0"/>
              <w:jc w:val="center"/>
              <w:rPr>
                <w:kern w:val="14"/>
                <w:lang w:val="en-US"/>
              </w:rPr>
            </w:pPr>
            <m:oMathPara>
              <m:oMath>
                <m:r>
                  <w:rPr>
                    <w:rFonts w:ascii="Cambria Math" w:hAnsi="Cambria Math"/>
                  </w:rPr>
                  <m:t>η</m:t>
                </m:r>
              </m:oMath>
            </m:oMathPara>
          </w:p>
        </w:tc>
        <w:tc>
          <w:tcPr>
            <w:tcW w:w="2370" w:type="dxa"/>
            <w:tcBorders>
              <w:top w:val="single" w:sz="4" w:space="0" w:color="auto"/>
              <w:left w:val="single" w:sz="4" w:space="0" w:color="auto"/>
              <w:bottom w:val="single" w:sz="4" w:space="0" w:color="auto"/>
              <w:right w:val="single" w:sz="4" w:space="0" w:color="auto"/>
            </w:tcBorders>
            <w:hideMark/>
          </w:tcPr>
          <w:p w:rsidR="00101C13" w:rsidRDefault="00101C13" w:rsidP="00101C13">
            <w:pPr>
              <w:suppressAutoHyphens/>
              <w:overflowPunct w:val="0"/>
              <w:autoSpaceDE w:val="0"/>
              <w:autoSpaceDN w:val="0"/>
              <w:adjustRightInd w:val="0"/>
              <w:jc w:val="center"/>
              <w:rPr>
                <w:kern w:val="14"/>
                <w:lang w:val="en-US"/>
              </w:rPr>
            </w:pPr>
            <w:r>
              <w:rPr>
                <w:rFonts w:cs="Calibri"/>
              </w:rPr>
              <w:t>(0.1, 0.3, 0.5)</w:t>
            </w:r>
          </w:p>
        </w:tc>
      </w:tr>
      <w:tr w:rsidR="00101C13" w:rsidTr="00101C13">
        <w:trPr>
          <w:jc w:val="center"/>
        </w:trPr>
        <w:tc>
          <w:tcPr>
            <w:tcW w:w="1210" w:type="dxa"/>
            <w:tcBorders>
              <w:top w:val="single" w:sz="4" w:space="0" w:color="auto"/>
              <w:left w:val="single" w:sz="4" w:space="0" w:color="auto"/>
              <w:bottom w:val="single" w:sz="4" w:space="0" w:color="auto"/>
              <w:right w:val="single" w:sz="4" w:space="0" w:color="auto"/>
            </w:tcBorders>
            <w:hideMark/>
          </w:tcPr>
          <w:p w:rsidR="00101C13" w:rsidRDefault="00101C13" w:rsidP="00101C13">
            <w:pPr>
              <w:suppressAutoHyphens/>
              <w:overflowPunct w:val="0"/>
              <w:autoSpaceDE w:val="0"/>
              <w:autoSpaceDN w:val="0"/>
              <w:adjustRightInd w:val="0"/>
              <w:jc w:val="center"/>
              <w:rPr>
                <w:kern w:val="14"/>
                <w:lang w:val="en-US"/>
              </w:rPr>
            </w:pPr>
            <m:oMathPara>
              <m:oMath>
                <m:r>
                  <w:rPr>
                    <w:rFonts w:ascii="Cambria Math" w:hAnsi="Cambria Math"/>
                  </w:rPr>
                  <m:t>λ</m:t>
                </m:r>
              </m:oMath>
            </m:oMathPara>
          </w:p>
        </w:tc>
        <w:tc>
          <w:tcPr>
            <w:tcW w:w="2370" w:type="dxa"/>
            <w:tcBorders>
              <w:top w:val="single" w:sz="4" w:space="0" w:color="auto"/>
              <w:left w:val="single" w:sz="4" w:space="0" w:color="auto"/>
              <w:bottom w:val="single" w:sz="4" w:space="0" w:color="auto"/>
              <w:right w:val="single" w:sz="4" w:space="0" w:color="auto"/>
            </w:tcBorders>
            <w:hideMark/>
          </w:tcPr>
          <w:p w:rsidR="00101C13" w:rsidRDefault="00101C13" w:rsidP="00101C13">
            <w:pPr>
              <w:suppressAutoHyphens/>
              <w:overflowPunct w:val="0"/>
              <w:autoSpaceDE w:val="0"/>
              <w:autoSpaceDN w:val="0"/>
              <w:adjustRightInd w:val="0"/>
              <w:jc w:val="center"/>
              <w:rPr>
                <w:kern w:val="14"/>
                <w:lang w:val="en-US"/>
              </w:rPr>
            </w:pPr>
            <w:r>
              <w:rPr>
                <w:rFonts w:cs="Calibri"/>
              </w:rPr>
              <w:t>(0.7, 0.825, 0.95)</w:t>
            </w:r>
          </w:p>
        </w:tc>
      </w:tr>
      <w:tr w:rsidR="00101C13" w:rsidTr="00101C13">
        <w:trPr>
          <w:jc w:val="center"/>
        </w:trPr>
        <w:tc>
          <w:tcPr>
            <w:tcW w:w="1210" w:type="dxa"/>
            <w:tcBorders>
              <w:top w:val="single" w:sz="4" w:space="0" w:color="auto"/>
              <w:left w:val="single" w:sz="4" w:space="0" w:color="auto"/>
              <w:bottom w:val="single" w:sz="4" w:space="0" w:color="auto"/>
              <w:right w:val="single" w:sz="4" w:space="0" w:color="auto"/>
            </w:tcBorders>
            <w:hideMark/>
          </w:tcPr>
          <w:p w:rsidR="00101C13" w:rsidRDefault="00101C13" w:rsidP="00101C13">
            <w:pPr>
              <w:suppressAutoHyphens/>
              <w:overflowPunct w:val="0"/>
              <w:autoSpaceDE w:val="0"/>
              <w:autoSpaceDN w:val="0"/>
              <w:adjustRightInd w:val="0"/>
              <w:jc w:val="center"/>
              <w:rPr>
                <w:kern w:val="14"/>
                <w:lang w:val="en-US"/>
              </w:rPr>
            </w:pPr>
            <m:oMathPara>
              <m:oMath>
                <m:r>
                  <w:rPr>
                    <w:rFonts w:ascii="Cambria Math" w:hAnsi="Cambria Math"/>
                  </w:rPr>
                  <m:t>ξ</m:t>
                </m:r>
              </m:oMath>
            </m:oMathPara>
          </w:p>
        </w:tc>
        <w:tc>
          <w:tcPr>
            <w:tcW w:w="2370" w:type="dxa"/>
            <w:tcBorders>
              <w:top w:val="single" w:sz="4" w:space="0" w:color="auto"/>
              <w:left w:val="single" w:sz="4" w:space="0" w:color="auto"/>
              <w:bottom w:val="single" w:sz="4" w:space="0" w:color="auto"/>
              <w:right w:val="single" w:sz="4" w:space="0" w:color="auto"/>
            </w:tcBorders>
            <w:hideMark/>
          </w:tcPr>
          <w:p w:rsidR="00101C13" w:rsidRDefault="00101C13" w:rsidP="00101C13">
            <w:pPr>
              <w:suppressAutoHyphens/>
              <w:overflowPunct w:val="0"/>
              <w:autoSpaceDE w:val="0"/>
              <w:autoSpaceDN w:val="0"/>
              <w:adjustRightInd w:val="0"/>
              <w:jc w:val="center"/>
              <w:rPr>
                <w:kern w:val="14"/>
                <w:lang w:val="en-US"/>
              </w:rPr>
            </w:pPr>
            <w:r>
              <w:rPr>
                <w:rFonts w:cs="Calibri"/>
              </w:rPr>
              <w:t>(1, 5.5, 10)</w:t>
            </w:r>
          </w:p>
        </w:tc>
      </w:tr>
      <w:tr w:rsidR="00101C13" w:rsidTr="00101C13">
        <w:trPr>
          <w:jc w:val="center"/>
        </w:trPr>
        <w:tc>
          <w:tcPr>
            <w:tcW w:w="1210" w:type="dxa"/>
            <w:tcBorders>
              <w:top w:val="single" w:sz="4" w:space="0" w:color="auto"/>
              <w:left w:val="single" w:sz="4" w:space="0" w:color="auto"/>
              <w:bottom w:val="single" w:sz="4" w:space="0" w:color="auto"/>
              <w:right w:val="single" w:sz="4" w:space="0" w:color="auto"/>
            </w:tcBorders>
            <w:hideMark/>
          </w:tcPr>
          <w:p w:rsidR="00101C13" w:rsidRDefault="00101C13" w:rsidP="00101C13">
            <w:pPr>
              <w:suppressAutoHyphens/>
              <w:overflowPunct w:val="0"/>
              <w:autoSpaceDE w:val="0"/>
              <w:autoSpaceDN w:val="0"/>
              <w:adjustRightInd w:val="0"/>
              <w:jc w:val="center"/>
              <w:rPr>
                <w:kern w:val="14"/>
                <w:lang w:val="en-US"/>
              </w:rPr>
            </w:pPr>
            <m:oMathPara>
              <m:oMath>
                <m:r>
                  <w:rPr>
                    <w:rFonts w:ascii="Cambria Math" w:hAnsi="Cambria Math"/>
                  </w:rPr>
                  <m:t>ψ</m:t>
                </m:r>
              </m:oMath>
            </m:oMathPara>
          </w:p>
        </w:tc>
        <w:tc>
          <w:tcPr>
            <w:tcW w:w="2370" w:type="dxa"/>
            <w:tcBorders>
              <w:top w:val="single" w:sz="4" w:space="0" w:color="auto"/>
              <w:left w:val="single" w:sz="4" w:space="0" w:color="auto"/>
              <w:bottom w:val="single" w:sz="4" w:space="0" w:color="auto"/>
              <w:right w:val="single" w:sz="4" w:space="0" w:color="auto"/>
            </w:tcBorders>
            <w:hideMark/>
          </w:tcPr>
          <w:p w:rsidR="00101C13" w:rsidRDefault="00101C13" w:rsidP="00101C13">
            <w:pPr>
              <w:suppressAutoHyphens/>
              <w:overflowPunct w:val="0"/>
              <w:autoSpaceDE w:val="0"/>
              <w:autoSpaceDN w:val="0"/>
              <w:adjustRightInd w:val="0"/>
              <w:jc w:val="center"/>
              <w:rPr>
                <w:kern w:val="14"/>
                <w:lang w:val="en-US"/>
              </w:rPr>
            </w:pPr>
            <w:r>
              <w:rPr>
                <w:rFonts w:cs="Calibri"/>
              </w:rPr>
              <w:t>(0.1, 0.3, 0.5)</w:t>
            </w:r>
          </w:p>
        </w:tc>
      </w:tr>
      <w:tr w:rsidR="00101C13" w:rsidTr="00101C13">
        <w:trPr>
          <w:jc w:val="center"/>
        </w:trPr>
        <w:tc>
          <w:tcPr>
            <w:tcW w:w="1210" w:type="dxa"/>
            <w:tcBorders>
              <w:top w:val="single" w:sz="4" w:space="0" w:color="auto"/>
              <w:left w:val="single" w:sz="4" w:space="0" w:color="auto"/>
              <w:bottom w:val="single" w:sz="4" w:space="0" w:color="auto"/>
              <w:right w:val="single" w:sz="4" w:space="0" w:color="auto"/>
            </w:tcBorders>
            <w:hideMark/>
          </w:tcPr>
          <w:p w:rsidR="00101C13" w:rsidRDefault="00101C13" w:rsidP="00101C13">
            <w:pPr>
              <w:suppressAutoHyphens/>
              <w:overflowPunct w:val="0"/>
              <w:autoSpaceDE w:val="0"/>
              <w:autoSpaceDN w:val="0"/>
              <w:adjustRightInd w:val="0"/>
              <w:jc w:val="center"/>
              <w:rPr>
                <w:kern w:val="14"/>
                <w:lang w:val="en-US"/>
              </w:rPr>
            </w:pPr>
            <m:oMath>
              <m:r>
                <w:rPr>
                  <w:rFonts w:ascii="Cambria Math" w:hAnsi="Cambria Math"/>
                </w:rPr>
                <m:t>t</m:t>
              </m:r>
            </m:oMath>
            <w:r>
              <w:t xml:space="preserve"> (mm)</w:t>
            </w:r>
          </w:p>
        </w:tc>
        <w:tc>
          <w:tcPr>
            <w:tcW w:w="2370" w:type="dxa"/>
            <w:tcBorders>
              <w:top w:val="single" w:sz="4" w:space="0" w:color="auto"/>
              <w:left w:val="single" w:sz="4" w:space="0" w:color="auto"/>
              <w:bottom w:val="single" w:sz="4" w:space="0" w:color="auto"/>
              <w:right w:val="single" w:sz="4" w:space="0" w:color="auto"/>
            </w:tcBorders>
            <w:hideMark/>
          </w:tcPr>
          <w:p w:rsidR="00101C13" w:rsidRDefault="00101C13" w:rsidP="00101C13">
            <w:pPr>
              <w:suppressAutoHyphens/>
              <w:overflowPunct w:val="0"/>
              <w:autoSpaceDE w:val="0"/>
              <w:autoSpaceDN w:val="0"/>
              <w:adjustRightInd w:val="0"/>
              <w:jc w:val="center"/>
              <w:rPr>
                <w:kern w:val="14"/>
                <w:lang w:val="en-US"/>
              </w:rPr>
            </w:pPr>
            <w:r>
              <w:rPr>
                <w:rFonts w:cs="Calibri"/>
              </w:rPr>
              <w:t>(12.7, 15.9, 25.4)</w:t>
            </w:r>
          </w:p>
        </w:tc>
      </w:tr>
    </w:tbl>
    <w:p w:rsidR="00101C13" w:rsidRDefault="00101C13" w:rsidP="00101C13">
      <w:pPr>
        <w:pStyle w:val="BodyTextIndent"/>
      </w:pPr>
    </w:p>
    <w:p w:rsidR="00101C13" w:rsidRDefault="00101C13" w:rsidP="00101C13">
      <w:pPr>
        <w:pStyle w:val="AcknowledgmentsClauseTitle"/>
      </w:pPr>
      <w:r>
        <w:t>RESULTS</w:t>
      </w:r>
    </w:p>
    <w:p w:rsidR="00101C13" w:rsidRDefault="00101C13" w:rsidP="00101C13">
      <w:pPr>
        <w:ind w:firstLine="357"/>
      </w:pPr>
      <w:r>
        <w:t xml:space="preserve">The variation of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 geometric parameters has been investigated for the case of surface breaking defects when the material properties are constant. This analysis has been carried out for both the equations given in </w:t>
      </w:r>
      <w:r>
        <w:fldChar w:fldCharType="begin"/>
      </w:r>
      <w:r>
        <w:instrText xml:space="preserve"> REF csa \h  \* MERGEFORMAT </w:instrText>
      </w:r>
      <w:r>
        <w:fldChar w:fldCharType="separate"/>
      </w:r>
      <w:r>
        <w:t>[1</w:t>
      </w:r>
      <w:proofErr w:type="gramStart"/>
      <w:r>
        <w:t>]</w:t>
      </w:r>
      <w:proofErr w:type="gramEnd"/>
      <w:r>
        <w:fldChar w:fldCharType="end"/>
      </w:r>
      <w:r>
        <w:t xml:space="preserve">as well as the equations given in </w:t>
      </w:r>
      <w:r>
        <w:fldChar w:fldCharType="begin"/>
      </w:r>
      <w:r>
        <w:instrText xml:space="preserve"> REF PRCI \h </w:instrText>
      </w:r>
      <w:r>
        <w:fldChar w:fldCharType="separate"/>
      </w:r>
      <w:r>
        <w:t>[2]</w:t>
      </w:r>
      <w:r>
        <w:fldChar w:fldCharType="end"/>
      </w:r>
      <w:r>
        <w:t xml:space="preserve">. In order to present the difference between the results predicted by </w:t>
      </w:r>
      <w:r>
        <w:fldChar w:fldCharType="begin"/>
      </w:r>
      <w:r>
        <w:instrText xml:space="preserve"> REF csa \h  \* MERGEFORMAT </w:instrText>
      </w:r>
      <w:r>
        <w:fldChar w:fldCharType="separate"/>
      </w:r>
      <w:r>
        <w:t>[1</w:t>
      </w:r>
      <w:proofErr w:type="gramStart"/>
      <w:r>
        <w:t>]</w:t>
      </w:r>
      <w:proofErr w:type="gramEnd"/>
      <w:r>
        <w:fldChar w:fldCharType="end"/>
      </w:r>
      <w:r>
        <w:t xml:space="preserve">and </w:t>
      </w:r>
      <w:r>
        <w:fldChar w:fldCharType="begin"/>
      </w:r>
      <w:r>
        <w:instrText xml:space="preserve"> REF PRCI \h </w:instrText>
      </w:r>
      <w:r>
        <w:fldChar w:fldCharType="separate"/>
      </w:r>
      <w:r>
        <w:t>[2]</w:t>
      </w:r>
      <w:r>
        <w:fldChar w:fldCharType="end"/>
      </w:r>
      <w:r>
        <w:t xml:space="preserve">surface plots have been generated visualizing the predicted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values for a variation of geometric parameters by fixed material properties. The surface plots in </w:t>
      </w:r>
      <w:r>
        <w:fldChar w:fldCharType="begin"/>
      </w:r>
      <w:r>
        <w:instrText xml:space="preserve"> REF _Ref316976867 \h  \* MERGEFORMAT </w:instrText>
      </w:r>
      <w:r>
        <w:fldChar w:fldCharType="separate"/>
      </w:r>
      <w:r>
        <w:t xml:space="preserve">Figure </w:t>
      </w:r>
      <w:r>
        <w:rPr>
          <w:noProof/>
        </w:rPr>
        <w:t>3</w:t>
      </w:r>
      <w:r>
        <w:fldChar w:fldCharType="end"/>
      </w:r>
      <w:r>
        <w:t xml:space="preserve"> and </w:t>
      </w:r>
      <w:r>
        <w:fldChar w:fldCharType="begin"/>
      </w:r>
      <w:r>
        <w:instrText xml:space="preserve"> REF _Ref317826580 \h  \* MERGEFORMAT </w:instrText>
      </w:r>
      <w:r>
        <w:fldChar w:fldCharType="separate"/>
      </w:r>
      <w:r>
        <w:t xml:space="preserve">Figure </w:t>
      </w:r>
      <w:r>
        <w:rPr>
          <w:noProof/>
        </w:rPr>
        <w:t>4</w:t>
      </w:r>
      <w:r>
        <w:fldChar w:fldCharType="end"/>
      </w:r>
      <w:r>
        <w:t xml:space="preserve"> give an example of the variation of the predicted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values according to </w:t>
      </w:r>
      <w:r>
        <w:fldChar w:fldCharType="begin"/>
      </w:r>
      <w:r>
        <w:instrText xml:space="preserve"> REF PRCI \h  \* MERGEFORMAT </w:instrText>
      </w:r>
      <w:r>
        <w:fldChar w:fldCharType="separate"/>
      </w:r>
      <w:r>
        <w:t>[2</w:t>
      </w:r>
      <w:proofErr w:type="gramStart"/>
      <w:r>
        <w:t>]</w:t>
      </w:r>
      <w:proofErr w:type="gramEnd"/>
      <w:r>
        <w:fldChar w:fldCharType="end"/>
      </w:r>
      <w:r>
        <w:t xml:space="preserve">and </w:t>
      </w:r>
      <w:r>
        <w:fldChar w:fldCharType="begin"/>
      </w:r>
      <w:r>
        <w:instrText xml:space="preserve"> REF csa \h  \* MERGEFORMAT </w:instrText>
      </w:r>
      <w:r>
        <w:fldChar w:fldCharType="separate"/>
      </w:r>
      <w:r>
        <w:t>[1]</w:t>
      </w:r>
      <w:r>
        <w:fldChar w:fldCharType="end"/>
      </w:r>
      <w:r>
        <w:t xml:space="preserve">. In the surface plots the ranges of the defect geometry parameters have been chosen according to the upper and lower limits specified in </w:t>
      </w:r>
      <w:r>
        <w:fldChar w:fldCharType="begin"/>
      </w:r>
      <w:r>
        <w:instrText xml:space="preserve"> REF csa \h  \* MERGEFORMAT </w:instrText>
      </w:r>
      <w:r>
        <w:fldChar w:fldCharType="separate"/>
      </w:r>
      <w:r>
        <w:t>[1]</w:t>
      </w:r>
      <w:r>
        <w:fldChar w:fldCharType="end"/>
      </w:r>
      <w:r>
        <w:t xml:space="preserve">. </w:t>
      </w:r>
      <w:proofErr w:type="gramStart"/>
      <w:r>
        <w:t xml:space="preserve">In these plots the lower limit of </w:t>
      </w:r>
      <m:oMath>
        <m:r>
          <w:rPr>
            <w:rFonts w:ascii="Cambria Math" w:hAnsi="Cambria Math"/>
          </w:rPr>
          <m:t>ξ</m:t>
        </m:r>
      </m:oMath>
      <w:r>
        <w:t xml:space="preserve"> is set to 1.5.</w:t>
      </w:r>
      <w:proofErr w:type="gramEnd"/>
      <w:r>
        <w:t xml:space="preserve"> The reason for that was to make both surface plots compatible with each other, since for </w:t>
      </w:r>
      <m:oMath>
        <m:r>
          <w:rPr>
            <w:rFonts w:ascii="Cambria Math" w:hAnsi="Cambria Math"/>
          </w:rPr>
          <m:t>ξ</m:t>
        </m:r>
      </m:oMath>
      <w:r>
        <w:t xml:space="preserve"> values lower than 1.5 impractically high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values were predicted by the equations of </w:t>
      </w:r>
      <w:r>
        <w:fldChar w:fldCharType="begin"/>
      </w:r>
      <w:r>
        <w:instrText xml:space="preserve"> REF PRCI \h  \* MERGEFORMAT </w:instrText>
      </w:r>
      <w:r>
        <w:fldChar w:fldCharType="separate"/>
      </w:r>
      <w:r>
        <w:t>[2]</w:t>
      </w:r>
      <w:r>
        <w:fldChar w:fldCharType="end"/>
      </w:r>
      <w:r>
        <w:t xml:space="preserve">. It can be clearly observed from the surface plots that as expected the tensile strain capacity tends to decrease with increasing defect sizes and there is a non-linear relationship between defect sizes and corresponding tensile strain capacities. The comparison of the predicted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values visualized in   </w:t>
      </w:r>
      <w:r>
        <w:fldChar w:fldCharType="begin"/>
      </w:r>
      <w:r>
        <w:instrText xml:space="preserve"> REF _Ref316976867 \h  \* MERGEFORMAT </w:instrText>
      </w:r>
      <w:r>
        <w:fldChar w:fldCharType="separate"/>
      </w:r>
      <w:r>
        <w:t xml:space="preserve">Figure </w:t>
      </w:r>
      <w:r>
        <w:rPr>
          <w:noProof/>
        </w:rPr>
        <w:t>3</w:t>
      </w:r>
      <w:r>
        <w:fldChar w:fldCharType="end"/>
      </w:r>
      <w:r>
        <w:t xml:space="preserve"> and </w:t>
      </w:r>
      <w:r>
        <w:fldChar w:fldCharType="begin"/>
      </w:r>
      <w:r>
        <w:instrText xml:space="preserve"> REF _Ref317826580 \h  \* MERGEFORMAT </w:instrText>
      </w:r>
      <w:r>
        <w:fldChar w:fldCharType="separate"/>
      </w:r>
      <w:r>
        <w:t xml:space="preserve">Figure </w:t>
      </w:r>
      <w:r>
        <w:rPr>
          <w:noProof/>
        </w:rPr>
        <w:t>4</w:t>
      </w:r>
      <w:r>
        <w:fldChar w:fldCharType="end"/>
      </w:r>
      <w:r>
        <w:t xml:space="preserve"> shows that the difference between the predictions of </w:t>
      </w:r>
      <w:r>
        <w:fldChar w:fldCharType="begin"/>
      </w:r>
      <w:r>
        <w:instrText xml:space="preserve"> REF PRCI \h  \* MERGEFORMAT </w:instrText>
      </w:r>
      <w:r>
        <w:fldChar w:fldCharType="separate"/>
      </w:r>
      <w:r>
        <w:t>[2</w:t>
      </w:r>
      <w:proofErr w:type="gramStart"/>
      <w:r>
        <w:t>]</w:t>
      </w:r>
      <w:proofErr w:type="gramEnd"/>
      <w:r>
        <w:fldChar w:fldCharType="end"/>
      </w:r>
      <w:r>
        <w:t xml:space="preserve">and </w:t>
      </w:r>
      <w:r>
        <w:fldChar w:fldCharType="begin"/>
      </w:r>
      <w:r>
        <w:instrText xml:space="preserve"> REF csa \h  \* MERGEFORMAT </w:instrText>
      </w:r>
      <w:r>
        <w:fldChar w:fldCharType="separate"/>
      </w:r>
      <w:r>
        <w:t>[1]</w:t>
      </w:r>
      <w:r>
        <w:fldChar w:fldCharType="end"/>
      </w:r>
      <w:r>
        <w:t xml:space="preserve">is approximately 6 %. </w:t>
      </w:r>
    </w:p>
    <w:p w:rsidR="00101C13" w:rsidRDefault="00101C13" w:rsidP="00101C13"/>
    <w:p w:rsidR="00101C13" w:rsidRDefault="00101C13" w:rsidP="00101C13">
      <w:pPr>
        <w:keepNext/>
      </w:pPr>
      <w:r>
        <w:rPr>
          <w:noProof/>
          <w:lang w:eastAsia="en-CA"/>
        </w:rPr>
        <w:t xml:space="preserve"> </w:t>
      </w:r>
      <w:r>
        <w:rPr>
          <w:noProof/>
          <w:lang w:eastAsia="en-CA"/>
        </w:rPr>
        <w:drawing>
          <wp:inline distT="0" distB="0" distL="0" distR="0" wp14:anchorId="23DA46FD" wp14:editId="07E21EB9">
            <wp:extent cx="2991485" cy="13627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1485" cy="1362710"/>
                    </a:xfrm>
                    <a:prstGeom prst="rect">
                      <a:avLst/>
                    </a:prstGeom>
                    <a:noFill/>
                    <a:ln>
                      <a:noFill/>
                    </a:ln>
                  </pic:spPr>
                </pic:pic>
              </a:graphicData>
            </a:graphic>
          </wp:inline>
        </w:drawing>
      </w:r>
    </w:p>
    <w:p w:rsidR="00101C13" w:rsidRDefault="00101C13" w:rsidP="00101C13">
      <w:pPr>
        <w:pStyle w:val="Caption"/>
        <w:jc w:val="center"/>
        <w:rPr>
          <w:rFonts w:ascii="Times New Roman" w:hAnsi="Times New Roman" w:cs="Times New Roman"/>
        </w:rPr>
      </w:pPr>
      <w:bookmarkStart w:id="11" w:name="_Ref316976867"/>
      <w:r>
        <w:rPr>
          <w:rFonts w:ascii="Times New Roman" w:hAnsi="Times New Roman" w:cs="Times New Roman"/>
        </w:rPr>
        <w:t xml:space="preserve">Figure </w:t>
      </w:r>
      <w:r>
        <w:fldChar w:fldCharType="begin"/>
      </w:r>
      <w:r>
        <w:rPr>
          <w:rFonts w:ascii="Times New Roman" w:hAnsi="Times New Roman" w:cs="Times New Roman"/>
        </w:rPr>
        <w:instrText xml:space="preserve"> SEQ Figure \* ARABIC </w:instrText>
      </w:r>
      <w:r>
        <w:fldChar w:fldCharType="separate"/>
      </w:r>
      <w:r>
        <w:rPr>
          <w:rFonts w:ascii="Times New Roman" w:hAnsi="Times New Roman" w:cs="Times New Roman"/>
          <w:noProof/>
        </w:rPr>
        <w:t>3</w:t>
      </w:r>
      <w:r>
        <w:fldChar w:fldCharType="end"/>
      </w:r>
      <w:bookmarkEnd w:id="11"/>
      <w:r>
        <w:rPr>
          <w:rFonts w:ascii="Times New Roman" w:hAnsi="Times New Roman" w:cs="Times New Roman"/>
        </w:rPr>
        <w:t>: Predicted tensile strain capacities for a variation of defect geometry by constant material properties for surface breaking defects according to CSA Z662-11</w:t>
      </w:r>
    </w:p>
    <w:p w:rsidR="00101C13" w:rsidRDefault="00101C13" w:rsidP="00101C13">
      <w:pPr>
        <w:keepNext/>
        <w:rPr>
          <w:rFonts w:ascii="Times New Roman" w:hAnsi="Times New Roman" w:cs="Times New Roman"/>
        </w:rPr>
      </w:pPr>
      <w:r>
        <w:rPr>
          <w:noProof/>
          <w:lang w:eastAsia="en-CA"/>
        </w:rPr>
        <w:lastRenderedPageBreak/>
        <w:drawing>
          <wp:inline distT="0" distB="0" distL="0" distR="0" wp14:anchorId="08C14546" wp14:editId="798B4C64">
            <wp:extent cx="2991485" cy="13627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1485" cy="1362710"/>
                    </a:xfrm>
                    <a:prstGeom prst="rect">
                      <a:avLst/>
                    </a:prstGeom>
                    <a:noFill/>
                    <a:ln>
                      <a:noFill/>
                    </a:ln>
                  </pic:spPr>
                </pic:pic>
              </a:graphicData>
            </a:graphic>
          </wp:inline>
        </w:drawing>
      </w:r>
    </w:p>
    <w:p w:rsidR="00101C13" w:rsidRDefault="00101C13" w:rsidP="00101C13">
      <w:pPr>
        <w:pStyle w:val="Caption"/>
        <w:jc w:val="center"/>
        <w:rPr>
          <w:rFonts w:ascii="Times New Roman" w:hAnsi="Times New Roman" w:cs="Times New Roman"/>
        </w:rPr>
      </w:pPr>
      <w:bookmarkStart w:id="12" w:name="_Ref317826580"/>
      <w:r>
        <w:rPr>
          <w:rFonts w:ascii="Times New Roman" w:hAnsi="Times New Roman" w:cs="Times New Roman"/>
        </w:rPr>
        <w:t xml:space="preserve">Figure </w:t>
      </w:r>
      <w:r>
        <w:fldChar w:fldCharType="begin"/>
      </w:r>
      <w:r>
        <w:rPr>
          <w:rFonts w:ascii="Times New Roman" w:hAnsi="Times New Roman" w:cs="Times New Roman"/>
        </w:rPr>
        <w:instrText xml:space="preserve"> SEQ Figure \* ARABIC </w:instrText>
      </w:r>
      <w:r>
        <w:fldChar w:fldCharType="separate"/>
      </w:r>
      <w:r>
        <w:rPr>
          <w:rFonts w:ascii="Times New Roman" w:hAnsi="Times New Roman" w:cs="Times New Roman"/>
          <w:noProof/>
        </w:rPr>
        <w:t>4</w:t>
      </w:r>
      <w:r>
        <w:fldChar w:fldCharType="end"/>
      </w:r>
      <w:bookmarkEnd w:id="12"/>
      <w:r>
        <w:rPr>
          <w:rFonts w:ascii="Times New Roman" w:hAnsi="Times New Roman" w:cs="Times New Roman"/>
        </w:rPr>
        <w:t xml:space="preserve">: Predicted tensile strain capacities for a variation of defect geometry by constant material properties for surface breaking defects according to </w:t>
      </w:r>
      <w:r>
        <w:rPr>
          <w:rFonts w:ascii="Times New Roman" w:hAnsi="Times New Roman" w:cs="Times New Roman"/>
        </w:rPr>
        <w:fldChar w:fldCharType="begin"/>
      </w:r>
      <w:r>
        <w:rPr>
          <w:rFonts w:ascii="Times New Roman" w:hAnsi="Times New Roman" w:cs="Times New Roman"/>
        </w:rPr>
        <w:instrText xml:space="preserve"> REF PRCI \h  \* MERGEFORMAT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xml:space="preserve"> </w:t>
      </w:r>
    </w:p>
    <w:p w:rsidR="00101C13" w:rsidRDefault="00101C13" w:rsidP="00101C13">
      <w:pPr>
        <w:rPr>
          <w:rFonts w:ascii="Times New Roman" w:hAnsi="Times New Roman" w:cs="Times New Roman"/>
        </w:rPr>
      </w:pPr>
    </w:p>
    <w:p w:rsidR="00101C13" w:rsidRDefault="00101C13" w:rsidP="00101C13">
      <w:pPr>
        <w:ind w:firstLine="357"/>
      </w:pPr>
      <w:r>
        <w:t xml:space="preserve">The variation of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 material properties for constant geometric parameters has been investigated. The predicted effect of the material toughness </w:t>
      </w:r>
      <m:oMath>
        <m:r>
          <w:rPr>
            <w:rFonts w:ascii="Cambria Math" w:hAnsi="Cambria Math"/>
          </w:rPr>
          <m:t>(δ)</m:t>
        </m:r>
      </m:oMath>
      <w:r>
        <w:t xml:space="preserve"> on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has been studied in two dimensional plots in </w:t>
      </w:r>
      <w:r>
        <w:fldChar w:fldCharType="begin"/>
      </w:r>
      <w:r>
        <w:instrText xml:space="preserve"> REF _Ref318869894 \h  \* MERGEFORMAT </w:instrText>
      </w:r>
      <w:r>
        <w:fldChar w:fldCharType="separate"/>
      </w:r>
      <w:r>
        <w:t xml:space="preserve">Figure </w:t>
      </w:r>
      <w:r>
        <w:rPr>
          <w:noProof/>
        </w:rPr>
        <w:t>5</w:t>
      </w:r>
      <w:r>
        <w:fldChar w:fldCharType="end"/>
      </w:r>
      <w:r>
        <w:t xml:space="preserve"> and </w:t>
      </w:r>
      <w:r>
        <w:fldChar w:fldCharType="begin"/>
      </w:r>
      <w:r>
        <w:instrText xml:space="preserve"> REF _Ref316978276 \h  \* MERGEFORMAT </w:instrText>
      </w:r>
      <w:r>
        <w:fldChar w:fldCharType="separate"/>
      </w:r>
      <w:r>
        <w:t xml:space="preserve">Figure </w:t>
      </w:r>
      <w:r>
        <w:rPr>
          <w:noProof/>
        </w:rPr>
        <w:t>6</w:t>
      </w:r>
      <w:r>
        <w:fldChar w:fldCharType="end"/>
      </w:r>
      <w:r>
        <w:t xml:space="preserve">. The plots on the left column of </w:t>
      </w:r>
      <w:r>
        <w:fldChar w:fldCharType="begin"/>
      </w:r>
      <w:r>
        <w:instrText xml:space="preserve"> REF _Ref318869894 \h  \* MERGEFORMAT </w:instrText>
      </w:r>
      <w:r>
        <w:fldChar w:fldCharType="separate"/>
      </w:r>
      <w:r>
        <w:t xml:space="preserve">Figure </w:t>
      </w:r>
      <w:r>
        <w:rPr>
          <w:noProof/>
        </w:rPr>
        <w:t>5</w:t>
      </w:r>
      <w:r>
        <w:fldChar w:fldCharType="end"/>
      </w:r>
      <w:r>
        <w:t xml:space="preserve"> show the variation of the relationship between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w:t>
      </w:r>
      <m:oMath>
        <m:r>
          <w:rPr>
            <w:rFonts w:ascii="Cambria Math" w:hAnsi="Cambria Math"/>
          </w:rPr>
          <m:t>η</m:t>
        </m:r>
      </m:oMath>
      <w:r>
        <w:t xml:space="preserve"> with respect to </w:t>
      </w:r>
      <m:oMath>
        <m:r>
          <w:rPr>
            <w:rFonts w:ascii="Cambria Math" w:hAnsi="Cambria Math"/>
          </w:rPr>
          <m:t>δ</m:t>
        </m:r>
      </m:oMath>
      <w:r>
        <w:t xml:space="preserve"> for three different values of </w:t>
      </w:r>
      <m:oMath>
        <m:r>
          <w:rPr>
            <w:rFonts w:ascii="Cambria Math" w:hAnsi="Cambria Math"/>
          </w:rPr>
          <m:t>ξ</m:t>
        </m:r>
      </m:oMath>
      <w:r>
        <w:t xml:space="preserve"> when </w:t>
      </w:r>
      <m:oMath>
        <m:r>
          <w:rPr>
            <w:rFonts w:ascii="Cambria Math" w:hAnsi="Cambria Math"/>
          </w:rPr>
          <m:t>λ</m:t>
        </m:r>
      </m:oMath>
      <w:r>
        <w:t xml:space="preserve"> is fixed at 0.8 which is the intermediate value of the range for </w:t>
      </w:r>
      <m:oMath>
        <m:r>
          <w:rPr>
            <w:rFonts w:ascii="Cambria Math" w:hAnsi="Cambria Math"/>
          </w:rPr>
          <m:t>λ</m:t>
        </m:r>
      </m:oMath>
      <w:r>
        <w:t xml:space="preserve"> defined in </w:t>
      </w:r>
      <w:r>
        <w:fldChar w:fldCharType="begin"/>
      </w:r>
      <w:r>
        <w:instrText xml:space="preserve"> REF csa \h  \* MERGEFORMAT </w:instrText>
      </w:r>
      <w:r>
        <w:fldChar w:fldCharType="separate"/>
      </w:r>
      <w:r>
        <w:t>[1]</w:t>
      </w:r>
      <w:r>
        <w:fldChar w:fldCharType="end"/>
      </w:r>
      <w:r>
        <w:t xml:space="preserve">. Using the plots in the left column of </w:t>
      </w:r>
      <w:r>
        <w:fldChar w:fldCharType="begin"/>
      </w:r>
      <w:r>
        <w:instrText xml:space="preserve"> REF _Ref318869894 \h  \* MERGEFORMAT </w:instrText>
      </w:r>
      <w:r>
        <w:fldChar w:fldCharType="separate"/>
      </w:r>
      <w:r>
        <w:t xml:space="preserve">Figure </w:t>
      </w:r>
      <w:r>
        <w:rPr>
          <w:noProof/>
        </w:rPr>
        <w:t>5</w:t>
      </w:r>
      <w:r>
        <w:fldChar w:fldCharType="end"/>
      </w:r>
      <w:proofErr w:type="gramStart"/>
      <w:r>
        <w:t xml:space="preserve">,  </w:t>
      </w:r>
      <w:proofErr w:type="gramEnd"/>
      <w:r>
        <w:fldChar w:fldCharType="begin"/>
      </w:r>
      <w:r>
        <w:instrText xml:space="preserve"> REF _Ref316978276 \h  \* MERGEFORMAT </w:instrText>
      </w:r>
      <w:r>
        <w:fldChar w:fldCharType="separate"/>
      </w:r>
      <w:r>
        <w:t xml:space="preserve">Figure </w:t>
      </w:r>
      <w:r>
        <w:rPr>
          <w:noProof/>
        </w:rPr>
        <w:t>6</w:t>
      </w:r>
      <w:r>
        <w:fldChar w:fldCharType="end"/>
      </w:r>
      <w:r>
        <w:t xml:space="preserve"> has been generated. In </w:t>
      </w:r>
      <w:r>
        <w:fldChar w:fldCharType="begin"/>
      </w:r>
      <w:r>
        <w:instrText xml:space="preserve"> REF _Ref316978276 \h  \* MERGEFORMAT </w:instrText>
      </w:r>
      <w:r>
        <w:fldChar w:fldCharType="separate"/>
      </w:r>
      <w:r>
        <w:t xml:space="preserve">Figure </w:t>
      </w:r>
      <w:r>
        <w:rPr>
          <w:noProof/>
        </w:rPr>
        <w:t>6</w:t>
      </w:r>
      <w:r>
        <w:fldChar w:fldCharType="end"/>
      </w:r>
      <w:r>
        <w:t xml:space="preserve"> each curve represents the percent change in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 the percent change in </w:t>
      </w:r>
      <m:oMath>
        <m:r>
          <w:rPr>
            <w:rFonts w:ascii="Cambria Math" w:hAnsi="Cambria Math"/>
          </w:rPr>
          <m:t>δ</m:t>
        </m:r>
      </m:oMath>
      <w:r>
        <w:t xml:space="preserve"> for a particular </w:t>
      </w:r>
      <m:oMath>
        <m:r>
          <w:rPr>
            <w:rFonts w:ascii="Cambria Math" w:hAnsi="Cambria Math"/>
          </w:rPr>
          <m:t>ξ</m:t>
        </m:r>
      </m:oMath>
      <w:r>
        <w:t xml:space="preserve"> value. For </w:t>
      </w:r>
      <m:oMath>
        <m:r>
          <w:rPr>
            <w:rFonts w:ascii="Cambria Math" w:hAnsi="Cambria Math"/>
          </w:rPr>
          <m:t>ξ=2,  5,  8</m:t>
        </m:r>
      </m:oMath>
      <w:r>
        <w:t xml:space="preserve"> the curves were generated at  </w:t>
      </w:r>
      <m:oMath>
        <m:r>
          <w:rPr>
            <w:rFonts w:ascii="Cambria Math" w:hAnsi="Cambria Math"/>
          </w:rPr>
          <m:t>η=0.5,  0.3,  0.1</m:t>
        </m:r>
      </m:oMath>
      <w:r>
        <w:t xml:space="preserve">  respectively. The overlapping curves in </w:t>
      </w:r>
      <w:r>
        <w:fldChar w:fldCharType="begin"/>
      </w:r>
      <w:r>
        <w:instrText xml:space="preserve"> REF _Ref316978276 \h  \* MERGEFORMAT </w:instrText>
      </w:r>
      <w:r>
        <w:fldChar w:fldCharType="separate"/>
      </w:r>
      <w:r>
        <w:t>Figure 6</w:t>
      </w:r>
      <w:r>
        <w:fldChar w:fldCharType="end"/>
      </w:r>
      <w:r>
        <w:t xml:space="preserve"> generated using this method show that for surface breaking defects the variation of </w:t>
      </w:r>
      <m:oMath>
        <m:sSubSup>
          <m:sSubSupPr>
            <m:ctrlPr>
              <w:rPr>
                <w:rFonts w:ascii="Cambria Math" w:hAnsi="Cambria Math"/>
                <w:kern w:val="14"/>
                <w:lang w:val="en-US"/>
              </w:rPr>
            </m:ctrlPr>
          </m:sSubSupPr>
          <m:e>
            <m:r>
              <m:rPr>
                <m:sty m:val="p"/>
              </m:rPr>
              <w:rPr>
                <w:rFonts w:ascii="Cambria Math" w:hAnsi="Cambria Math"/>
              </w:rPr>
              <m:t>ε</m:t>
            </m:r>
          </m:e>
          <m:sub>
            <m:r>
              <m:rPr>
                <m:sty m:val="p"/>
              </m:rPr>
              <w:rPr>
                <w:rFonts w:ascii="Cambria Math" w:hAnsi="Cambria Math"/>
              </w:rPr>
              <m:t>t</m:t>
            </m:r>
          </m:sub>
          <m:sup>
            <m:r>
              <m:rPr>
                <m:sty m:val="p"/>
              </m:rPr>
              <w:rPr>
                <w:rFonts w:ascii="Cambria Math" w:hAnsi="Cambria Math"/>
              </w:rPr>
              <m:t>crit</m:t>
            </m:r>
          </m:sup>
        </m:sSubSup>
      </m:oMath>
      <w:r>
        <w:t xml:space="preserve"> with respect to the apparent CTOD toughness </w:t>
      </w:r>
      <m:oMath>
        <m:r>
          <m:rPr>
            <m:sty m:val="p"/>
          </m:rPr>
          <w:rPr>
            <w:rFonts w:ascii="Cambria Math" w:hAnsi="Cambria Math"/>
          </w:rPr>
          <m:t>δ</m:t>
        </m:r>
      </m:oMath>
      <w:r>
        <w:t xml:space="preserve"> by fixed geometric parameters is linear and this linear relationship is not affected by the values at which the geometric parameters are fixed.</w:t>
      </w:r>
    </w:p>
    <w:p w:rsidR="00101C13" w:rsidRDefault="00101C13" w:rsidP="00101C13">
      <w:pPr>
        <w:ind w:firstLine="357"/>
      </w:pPr>
      <w:r>
        <w:t>The predicted effect of the Y/T ratio (</w:t>
      </w:r>
      <m:oMath>
        <m:r>
          <w:rPr>
            <w:rFonts w:ascii="Cambria Math" w:hAnsi="Cambria Math"/>
          </w:rPr>
          <m:t>λ</m:t>
        </m:r>
      </m:oMath>
      <w:r>
        <w:t xml:space="preserve">) on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has been studied in two dimensional plots in </w:t>
      </w:r>
      <w:r>
        <w:fldChar w:fldCharType="begin"/>
      </w:r>
      <w:r>
        <w:instrText xml:space="preserve"> REF _Ref318869894 \h  \* MERGEFORMAT </w:instrText>
      </w:r>
      <w:r>
        <w:fldChar w:fldCharType="separate"/>
      </w:r>
      <w:r>
        <w:t xml:space="preserve">Figure </w:t>
      </w:r>
      <w:r>
        <w:rPr>
          <w:noProof/>
        </w:rPr>
        <w:t>5</w:t>
      </w:r>
      <w:r>
        <w:fldChar w:fldCharType="end"/>
      </w:r>
      <w:r>
        <w:t xml:space="preserve"> and </w:t>
      </w:r>
      <w:r>
        <w:fldChar w:fldCharType="begin"/>
      </w:r>
      <w:r>
        <w:instrText xml:space="preserve"> REF _Ref318938935 \h  \* MERGEFORMAT </w:instrText>
      </w:r>
      <w:r>
        <w:fldChar w:fldCharType="separate"/>
      </w:r>
      <w:r>
        <w:t xml:space="preserve">Figure </w:t>
      </w:r>
      <w:r>
        <w:rPr>
          <w:noProof/>
        </w:rPr>
        <w:t>7</w:t>
      </w:r>
      <w:r>
        <w:fldChar w:fldCharType="end"/>
      </w:r>
      <w:r>
        <w:t xml:space="preserve">. These plots confirmed that increasing Y/T values result in lower tensile strain capacities. The plots on the right column of </w:t>
      </w:r>
      <w:r>
        <w:fldChar w:fldCharType="begin"/>
      </w:r>
      <w:r>
        <w:instrText xml:space="preserve"> REF _Ref318869894 \h  \* MERGEFORMAT </w:instrText>
      </w:r>
      <w:r>
        <w:fldChar w:fldCharType="separate"/>
      </w:r>
      <w:r>
        <w:t xml:space="preserve">Figure </w:t>
      </w:r>
      <w:r>
        <w:rPr>
          <w:noProof/>
        </w:rPr>
        <w:t>5</w:t>
      </w:r>
      <w:r>
        <w:fldChar w:fldCharType="end"/>
      </w:r>
      <w:r>
        <w:t xml:space="preserve"> show the variation of the </w:t>
      </w:r>
      <w:r>
        <w:lastRenderedPageBreak/>
        <w:t xml:space="preserve">relationship between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w:t>
      </w:r>
      <m:oMath>
        <m:r>
          <w:rPr>
            <w:rFonts w:ascii="Cambria Math" w:hAnsi="Cambria Math"/>
          </w:rPr>
          <m:t>η</m:t>
        </m:r>
      </m:oMath>
      <w:r>
        <w:t xml:space="preserve"> with respect to </w:t>
      </w:r>
      <m:oMath>
        <m:r>
          <w:rPr>
            <w:rFonts w:ascii="Cambria Math" w:hAnsi="Cambria Math"/>
          </w:rPr>
          <m:t>λ</m:t>
        </m:r>
      </m:oMath>
      <w:r>
        <w:t xml:space="preserve"> for three different values of </w:t>
      </w:r>
      <m:oMath>
        <m:r>
          <w:rPr>
            <w:rFonts w:ascii="Cambria Math" w:hAnsi="Cambria Math"/>
          </w:rPr>
          <m:t>ξ</m:t>
        </m:r>
      </m:oMath>
      <w:r>
        <w:t xml:space="preserve"> when </w:t>
      </w:r>
      <m:oMath>
        <m:r>
          <w:rPr>
            <w:rFonts w:ascii="Cambria Math" w:hAnsi="Cambria Math"/>
          </w:rPr>
          <m:t>δ</m:t>
        </m:r>
      </m:oMath>
      <w:r>
        <w:t xml:space="preserve"> is fixed at 0.2 which is the intermediate value of the range for </w:t>
      </w:r>
      <m:oMath>
        <m:r>
          <w:rPr>
            <w:rFonts w:ascii="Cambria Math" w:hAnsi="Cambria Math"/>
          </w:rPr>
          <m:t>δ</m:t>
        </m:r>
      </m:oMath>
      <w:r>
        <w:t xml:space="preserve"> defined in </w:t>
      </w:r>
      <w:r>
        <w:fldChar w:fldCharType="begin"/>
      </w:r>
      <w:r>
        <w:instrText xml:space="preserve"> REF csa \h  \* MERGEFORMAT </w:instrText>
      </w:r>
      <w:r>
        <w:fldChar w:fldCharType="separate"/>
      </w:r>
      <w:r>
        <w:t>[1]</w:t>
      </w:r>
      <w:r>
        <w:fldChar w:fldCharType="end"/>
      </w:r>
      <w:r>
        <w:t xml:space="preserve">. Using the plots in the right column of </w:t>
      </w:r>
      <w:r>
        <w:fldChar w:fldCharType="begin"/>
      </w:r>
      <w:r>
        <w:instrText xml:space="preserve"> REF _Ref318869894 \h  \* MERGEFORMAT </w:instrText>
      </w:r>
      <w:r>
        <w:fldChar w:fldCharType="separate"/>
      </w:r>
      <w:r>
        <w:t xml:space="preserve">Figure </w:t>
      </w:r>
      <w:r>
        <w:rPr>
          <w:noProof/>
        </w:rPr>
        <w:t>5</w:t>
      </w:r>
      <w:r>
        <w:fldChar w:fldCharType="end"/>
      </w:r>
      <w:proofErr w:type="gramStart"/>
      <w:r>
        <w:t xml:space="preserve">,  </w:t>
      </w:r>
      <w:proofErr w:type="gramEnd"/>
      <w:r>
        <w:fldChar w:fldCharType="begin"/>
      </w:r>
      <w:r>
        <w:instrText xml:space="preserve"> REF _Ref318938935 \h  \* MERGEFORMAT </w:instrText>
      </w:r>
      <w:r>
        <w:fldChar w:fldCharType="separate"/>
      </w:r>
      <w:r>
        <w:t xml:space="preserve">Figure </w:t>
      </w:r>
      <w:r>
        <w:rPr>
          <w:noProof/>
        </w:rPr>
        <w:t>7</w:t>
      </w:r>
      <w:r>
        <w:fldChar w:fldCharType="end"/>
      </w:r>
      <w:r>
        <w:t xml:space="preserve"> has been generated. In </w:t>
      </w:r>
      <w:r>
        <w:fldChar w:fldCharType="begin"/>
      </w:r>
      <w:r>
        <w:instrText xml:space="preserve"> REF _Ref318938935 \h  \* MERGEFORMAT </w:instrText>
      </w:r>
      <w:r>
        <w:fldChar w:fldCharType="separate"/>
      </w:r>
      <w:r>
        <w:t xml:space="preserve">Figure </w:t>
      </w:r>
      <w:r>
        <w:rPr>
          <w:noProof/>
        </w:rPr>
        <w:t>7</w:t>
      </w:r>
      <w:r>
        <w:fldChar w:fldCharType="end"/>
      </w:r>
      <w:r>
        <w:t xml:space="preserve"> each curve represents the percent change in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with respect to the percent change in </w:t>
      </w:r>
      <m:oMath>
        <m:r>
          <w:rPr>
            <w:rFonts w:ascii="Cambria Math" w:hAnsi="Cambria Math"/>
          </w:rPr>
          <m:t>λ</m:t>
        </m:r>
      </m:oMath>
      <w:r>
        <w:t xml:space="preserve"> for a particular </w:t>
      </w:r>
      <m:oMath>
        <m:r>
          <w:rPr>
            <w:rFonts w:ascii="Cambria Math" w:hAnsi="Cambria Math"/>
          </w:rPr>
          <m:t>ξ</m:t>
        </m:r>
      </m:oMath>
      <w:r>
        <w:t xml:space="preserve"> value. </w:t>
      </w:r>
      <w:proofErr w:type="gramStart"/>
      <w:r>
        <w:t xml:space="preserve">Again for </w:t>
      </w:r>
      <m:oMath>
        <m:r>
          <w:rPr>
            <w:rFonts w:ascii="Cambria Math" w:hAnsi="Cambria Math"/>
          </w:rPr>
          <m:t>ξ=2,  5,  8</m:t>
        </m:r>
      </m:oMath>
      <w:r>
        <w:t xml:space="preserve"> the curves have been generated at  </w:t>
      </w:r>
      <m:oMath>
        <m:r>
          <w:rPr>
            <w:rFonts w:ascii="Cambria Math" w:hAnsi="Cambria Math"/>
          </w:rPr>
          <m:t>η=0.5,  0.3,  0.1</m:t>
        </m:r>
      </m:oMath>
      <w:r>
        <w:t xml:space="preserve">  respectively.</w:t>
      </w:r>
      <w:proofErr w:type="gramEnd"/>
      <w:r>
        <w:t xml:space="preserve"> The overlapping curves in </w:t>
      </w:r>
      <w:r>
        <w:fldChar w:fldCharType="begin"/>
      </w:r>
      <w:r>
        <w:instrText xml:space="preserve"> REF _Ref318938935 \h  \* MERGEFORMAT </w:instrText>
      </w:r>
      <w:r>
        <w:fldChar w:fldCharType="separate"/>
      </w:r>
      <w:r>
        <w:t xml:space="preserve">Figure </w:t>
      </w:r>
      <w:r>
        <w:rPr>
          <w:noProof/>
        </w:rPr>
        <w:t>7</w:t>
      </w:r>
      <w:r>
        <w:fldChar w:fldCharType="end"/>
      </w:r>
      <w:r>
        <w:t xml:space="preserve"> generated using this method show that for surface breaking defects the slightly nonlinear relationship between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and </w:t>
      </w:r>
      <m:oMath>
        <m:r>
          <w:rPr>
            <w:rFonts w:ascii="Cambria Math" w:hAnsi="Cambria Math"/>
          </w:rPr>
          <m:t>λ</m:t>
        </m:r>
      </m:oMath>
      <w:r>
        <w:t xml:space="preserve"> by fixed geometric parameters is independent of the values at which the geometric parameters are fixed.</w:t>
      </w:r>
    </w:p>
    <w:p w:rsidR="00101C13" w:rsidRDefault="00101C13" w:rsidP="00101C13">
      <w:pPr>
        <w:sectPr w:rsidR="00101C13" w:rsidSect="00101C13">
          <w:type w:val="continuous"/>
          <w:pgSz w:w="12240" w:h="15840"/>
          <w:pgMar w:top="720" w:right="1440" w:bottom="1440" w:left="1440" w:header="720" w:footer="720" w:gutter="0"/>
          <w:cols w:num="2" w:space="720"/>
        </w:sectPr>
      </w:pPr>
      <w:r>
        <w:t xml:space="preserve">In order to determine the flaw geometry parameters and material properties having the greatest effect on the predicted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value, </w:t>
      </w:r>
      <m:oMath>
        <m:sSup>
          <m:sSupPr>
            <m:ctrlPr>
              <w:rPr>
                <w:rFonts w:ascii="Cambria Math" w:hAnsi="Cambria Math"/>
                <w:i/>
                <w:kern w:val="14"/>
                <w:lang w:val="en-US"/>
              </w:rPr>
            </m:ctrlPr>
          </m:sSupPr>
          <m:e>
            <m:r>
              <w:rPr>
                <w:rFonts w:ascii="Cambria Math" w:hAnsi="Cambria Math"/>
              </w:rPr>
              <m:t>3</m:t>
            </m:r>
          </m:e>
          <m:sup>
            <m:r>
              <w:rPr>
                <w:rFonts w:ascii="Cambria Math" w:hAnsi="Cambria Math"/>
              </w:rPr>
              <m:t>4</m:t>
            </m:r>
          </m:sup>
        </m:sSup>
      </m:oMath>
      <w:r>
        <w:t xml:space="preserve"> and </w:t>
      </w:r>
      <m:oMath>
        <m:sSup>
          <m:sSupPr>
            <m:ctrlPr>
              <w:rPr>
                <w:rFonts w:ascii="Cambria Math" w:hAnsi="Cambria Math"/>
                <w:i/>
                <w:kern w:val="14"/>
                <w:lang w:val="en-US"/>
              </w:rPr>
            </m:ctrlPr>
          </m:sSupPr>
          <m:e>
            <m:r>
              <w:rPr>
                <w:rFonts w:ascii="Cambria Math" w:hAnsi="Cambria Math"/>
              </w:rPr>
              <m:t>3</m:t>
            </m:r>
          </m:e>
          <m:sup>
            <m:r>
              <w:rPr>
                <w:rFonts w:ascii="Cambria Math" w:hAnsi="Cambria Math"/>
              </w:rPr>
              <m:t>6</m:t>
            </m:r>
          </m:sup>
        </m:sSup>
      </m:oMath>
      <w:r>
        <w:t xml:space="preserve"> full factorial experimental designs for planar surface breaking defect and buried defect cases have been carried out. </w:t>
      </w:r>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oMath>
      <w:r>
        <w:t xml:space="preserve"> </w:t>
      </w:r>
      <w:r>
        <w:rPr>
          <w:sz w:val="14"/>
          <w:szCs w:val="14"/>
        </w:rPr>
        <w:t xml:space="preserve"> </w:t>
      </w:r>
      <w:proofErr w:type="gramStart"/>
      <w:r>
        <w:t>has</w:t>
      </w:r>
      <w:proofErr w:type="gramEnd"/>
      <w:r>
        <w:t xml:space="preserve"> been evaluated at the maximum,</w:t>
      </w:r>
    </w:p>
    <w:p w:rsidR="00101C13" w:rsidRDefault="00101C13" w:rsidP="00101C13">
      <w:pPr>
        <w:ind w:firstLine="357"/>
        <w:sectPr w:rsidR="00101C13">
          <w:pgSz w:w="12240" w:h="15840"/>
          <w:pgMar w:top="1440" w:right="1440" w:bottom="1440" w:left="1440" w:header="708" w:footer="708" w:gutter="0"/>
          <w:cols w:space="708"/>
          <w:docGrid w:linePitch="360"/>
        </w:sectPr>
      </w:pPr>
    </w:p>
    <w:p w:rsidR="00101C13" w:rsidRDefault="00101C13" w:rsidP="00101C13">
      <w:pPr>
        <w:ind w:firstLine="357"/>
      </w:pPr>
      <w:r>
        <w:lastRenderedPageBreak/>
        <w:t xml:space="preserve"> </w:t>
      </w:r>
    </w:p>
    <w:p w:rsidR="00E6350F" w:rsidRPr="00101C13" w:rsidRDefault="00E6350F" w:rsidP="00101C13"/>
    <w:sectPr w:rsidR="00E6350F" w:rsidRPr="00101C13" w:rsidSect="00101C13">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C13"/>
    <w:rsid w:val="00101C13"/>
    <w:rsid w:val="00230C44"/>
    <w:rsid w:val="004E5D05"/>
    <w:rsid w:val="0061117C"/>
    <w:rsid w:val="00814896"/>
    <w:rsid w:val="00CB66B1"/>
    <w:rsid w:val="00E6350F"/>
    <w:rsid w:val="00EC27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semiHidden/>
    <w:rsid w:val="00101C13"/>
    <w:rPr>
      <w:rFonts w:ascii="Times New Roman" w:eastAsia="Times New Roman" w:hAnsi="Times New Roman" w:cs="Times New Roman"/>
      <w:kern w:val="14"/>
      <w:sz w:val="16"/>
      <w:szCs w:val="20"/>
      <w:lang w:val="en-US"/>
    </w:rPr>
  </w:style>
  <w:style w:type="paragraph" w:styleId="FootnoteText">
    <w:name w:val="footnote text"/>
    <w:basedOn w:val="Normal"/>
    <w:link w:val="FootnoteTextChar"/>
    <w:semiHidden/>
    <w:unhideWhenUsed/>
    <w:rsid w:val="00101C13"/>
    <w:pPr>
      <w:suppressAutoHyphens/>
      <w:overflowPunct w:val="0"/>
      <w:autoSpaceDE w:val="0"/>
      <w:autoSpaceDN w:val="0"/>
      <w:adjustRightInd w:val="0"/>
      <w:spacing w:after="0" w:line="240" w:lineRule="auto"/>
      <w:ind w:firstLine="360"/>
      <w:jc w:val="both"/>
    </w:pPr>
    <w:rPr>
      <w:rFonts w:ascii="Times New Roman" w:eastAsia="Times New Roman" w:hAnsi="Times New Roman" w:cs="Times New Roman"/>
      <w:kern w:val="14"/>
      <w:sz w:val="16"/>
      <w:szCs w:val="20"/>
      <w:lang w:val="en-US"/>
    </w:rPr>
  </w:style>
  <w:style w:type="character" w:customStyle="1" w:styleId="CommentTextChar">
    <w:name w:val="Comment Text Char"/>
    <w:basedOn w:val="DefaultParagraphFont"/>
    <w:link w:val="CommentText"/>
    <w:uiPriority w:val="99"/>
    <w:semiHidden/>
    <w:rsid w:val="00101C13"/>
    <w:rPr>
      <w:rFonts w:ascii="Calibri" w:eastAsia="SimSun" w:hAnsi="Calibri" w:cs="Arial"/>
      <w:sz w:val="20"/>
      <w:szCs w:val="20"/>
      <w:lang w:val="x-none" w:eastAsia="zh-CN" w:bidi="he-IL"/>
    </w:rPr>
  </w:style>
  <w:style w:type="paragraph" w:styleId="CommentText">
    <w:name w:val="annotation text"/>
    <w:basedOn w:val="Normal"/>
    <w:link w:val="CommentTextChar"/>
    <w:uiPriority w:val="99"/>
    <w:semiHidden/>
    <w:unhideWhenUsed/>
    <w:rsid w:val="00101C13"/>
    <w:rPr>
      <w:rFonts w:ascii="Calibri" w:eastAsia="SimSun" w:hAnsi="Calibri" w:cs="Arial"/>
      <w:sz w:val="20"/>
      <w:szCs w:val="20"/>
      <w:lang w:val="x-none" w:eastAsia="zh-CN" w:bidi="he-IL"/>
    </w:rPr>
  </w:style>
  <w:style w:type="character" w:customStyle="1" w:styleId="FooterChar">
    <w:name w:val="Footer Char"/>
    <w:basedOn w:val="DefaultParagraphFont"/>
    <w:link w:val="Footer"/>
    <w:semiHidden/>
    <w:rsid w:val="00101C13"/>
    <w:rPr>
      <w:rFonts w:ascii="Times New Roman" w:eastAsia="Times New Roman" w:hAnsi="Times New Roman" w:cs="Times New Roman"/>
      <w:kern w:val="14"/>
      <w:sz w:val="20"/>
      <w:szCs w:val="20"/>
      <w:lang w:val="en-US"/>
    </w:rPr>
  </w:style>
  <w:style w:type="paragraph" w:styleId="Footer">
    <w:name w:val="footer"/>
    <w:basedOn w:val="Normal"/>
    <w:next w:val="Header"/>
    <w:link w:val="FooterChar"/>
    <w:semiHidden/>
    <w:unhideWhenUsed/>
    <w:rsid w:val="00101C13"/>
    <w:pPr>
      <w:tabs>
        <w:tab w:val="center" w:pos="5760"/>
        <w:tab w:val="right" w:pos="10800"/>
      </w:tabs>
      <w:suppressAutoHyphens/>
      <w:overflowPunct w:val="0"/>
      <w:autoSpaceDE w:val="0"/>
      <w:autoSpaceDN w:val="0"/>
      <w:adjustRightInd w:val="0"/>
      <w:spacing w:after="0" w:line="240" w:lineRule="auto"/>
      <w:jc w:val="both"/>
    </w:pPr>
    <w:rPr>
      <w:rFonts w:ascii="Times New Roman" w:eastAsia="Times New Roman" w:hAnsi="Times New Roman" w:cs="Times New Roman"/>
      <w:kern w:val="14"/>
      <w:sz w:val="20"/>
      <w:szCs w:val="20"/>
      <w:lang w:val="en-US"/>
    </w:rPr>
  </w:style>
  <w:style w:type="paragraph" w:styleId="Header">
    <w:name w:val="header"/>
    <w:basedOn w:val="Normal"/>
    <w:next w:val="Footer"/>
    <w:link w:val="HeaderChar"/>
    <w:semiHidden/>
    <w:unhideWhenUsed/>
    <w:rsid w:val="00101C13"/>
    <w:pPr>
      <w:suppressAutoHyphens/>
      <w:overflowPunct w:val="0"/>
      <w:autoSpaceDE w:val="0"/>
      <w:autoSpaceDN w:val="0"/>
      <w:adjustRightInd w:val="0"/>
      <w:spacing w:after="0" w:line="240" w:lineRule="auto"/>
      <w:jc w:val="both"/>
    </w:pPr>
    <w:rPr>
      <w:rFonts w:ascii="Times New Roman" w:eastAsia="Times New Roman" w:hAnsi="Times New Roman" w:cs="Times New Roman"/>
      <w:kern w:val="14"/>
      <w:sz w:val="20"/>
      <w:szCs w:val="20"/>
      <w:lang w:val="en-US"/>
    </w:rPr>
  </w:style>
  <w:style w:type="character" w:customStyle="1" w:styleId="HeaderChar">
    <w:name w:val="Header Char"/>
    <w:basedOn w:val="DefaultParagraphFont"/>
    <w:link w:val="Header"/>
    <w:semiHidden/>
    <w:rsid w:val="00101C13"/>
    <w:rPr>
      <w:rFonts w:ascii="Times New Roman" w:eastAsia="Times New Roman" w:hAnsi="Times New Roman" w:cs="Times New Roman"/>
      <w:kern w:val="14"/>
      <w:sz w:val="20"/>
      <w:szCs w:val="20"/>
      <w:lang w:val="en-US"/>
    </w:rPr>
  </w:style>
  <w:style w:type="character" w:customStyle="1" w:styleId="TitleChar">
    <w:name w:val="Title Char"/>
    <w:basedOn w:val="DefaultParagraphFont"/>
    <w:link w:val="Title"/>
    <w:rsid w:val="00101C13"/>
    <w:rPr>
      <w:rFonts w:ascii="Arial" w:eastAsia="Times New Roman" w:hAnsi="Arial" w:cs="Times New Roman"/>
      <w:b/>
      <w:caps/>
      <w:kern w:val="14"/>
      <w:sz w:val="24"/>
      <w:szCs w:val="20"/>
      <w:lang w:val="en-US"/>
    </w:rPr>
  </w:style>
  <w:style w:type="paragraph" w:styleId="Title">
    <w:name w:val="Title"/>
    <w:basedOn w:val="Normal"/>
    <w:link w:val="TitleChar"/>
    <w:qFormat/>
    <w:rsid w:val="00101C13"/>
    <w:pPr>
      <w:suppressAutoHyphens/>
      <w:overflowPunct w:val="0"/>
      <w:autoSpaceDE w:val="0"/>
      <w:autoSpaceDN w:val="0"/>
      <w:adjustRightInd w:val="0"/>
      <w:spacing w:before="760" w:after="0" w:line="240" w:lineRule="auto"/>
      <w:jc w:val="center"/>
    </w:pPr>
    <w:rPr>
      <w:rFonts w:ascii="Arial" w:eastAsia="Times New Roman" w:hAnsi="Arial" w:cs="Times New Roman"/>
      <w:b/>
      <w:caps/>
      <w:kern w:val="14"/>
      <w:sz w:val="24"/>
      <w:szCs w:val="20"/>
      <w:lang w:val="en-US"/>
    </w:rPr>
  </w:style>
  <w:style w:type="character" w:customStyle="1" w:styleId="BodyTextIndentChar">
    <w:name w:val="Body Text Indent Char"/>
    <w:basedOn w:val="DefaultParagraphFont"/>
    <w:link w:val="BodyTextIndent"/>
    <w:semiHidden/>
    <w:rsid w:val="00101C13"/>
    <w:rPr>
      <w:rFonts w:ascii="Times New Roman" w:eastAsia="Times New Roman" w:hAnsi="Times New Roman" w:cs="Times New Roman"/>
      <w:kern w:val="14"/>
      <w:sz w:val="20"/>
      <w:szCs w:val="20"/>
      <w:lang w:val="en-US"/>
    </w:rPr>
  </w:style>
  <w:style w:type="paragraph" w:styleId="BodyTextIndent">
    <w:name w:val="Body Text Indent"/>
    <w:basedOn w:val="Normal"/>
    <w:link w:val="BodyTextIndentChar"/>
    <w:semiHidden/>
    <w:unhideWhenUsed/>
    <w:rsid w:val="00101C13"/>
    <w:pPr>
      <w:suppressAutoHyphens/>
      <w:overflowPunct w:val="0"/>
      <w:autoSpaceDE w:val="0"/>
      <w:autoSpaceDN w:val="0"/>
      <w:adjustRightInd w:val="0"/>
      <w:spacing w:after="0" w:line="240" w:lineRule="auto"/>
      <w:ind w:firstLine="360"/>
      <w:jc w:val="both"/>
    </w:pPr>
    <w:rPr>
      <w:rFonts w:ascii="Times New Roman" w:eastAsia="Times New Roman" w:hAnsi="Times New Roman" w:cs="Times New Roman"/>
      <w:kern w:val="14"/>
      <w:sz w:val="20"/>
      <w:szCs w:val="20"/>
      <w:lang w:val="en-US"/>
    </w:rPr>
  </w:style>
  <w:style w:type="character" w:customStyle="1" w:styleId="PlainTextChar">
    <w:name w:val="Plain Text Char"/>
    <w:basedOn w:val="DefaultParagraphFont"/>
    <w:link w:val="PlainText"/>
    <w:semiHidden/>
    <w:rsid w:val="00101C13"/>
    <w:rPr>
      <w:rFonts w:ascii="Courier New" w:eastAsia="Times New Roman" w:hAnsi="Courier New" w:cs="Courier New"/>
      <w:sz w:val="20"/>
      <w:szCs w:val="20"/>
      <w:lang w:val="en-US"/>
    </w:rPr>
  </w:style>
  <w:style w:type="paragraph" w:styleId="PlainText">
    <w:name w:val="Plain Text"/>
    <w:basedOn w:val="Normal"/>
    <w:link w:val="PlainTextChar"/>
    <w:semiHidden/>
    <w:unhideWhenUsed/>
    <w:rsid w:val="00101C13"/>
    <w:pPr>
      <w:spacing w:after="0" w:line="240" w:lineRule="auto"/>
    </w:pPr>
    <w:rPr>
      <w:rFonts w:ascii="Courier New" w:eastAsia="Times New Roman" w:hAnsi="Courier New" w:cs="Courier New"/>
      <w:sz w:val="20"/>
      <w:szCs w:val="20"/>
      <w:lang w:val="en-US"/>
    </w:rPr>
  </w:style>
  <w:style w:type="character" w:customStyle="1" w:styleId="BalloonTextChar">
    <w:name w:val="Balloon Text Char"/>
    <w:basedOn w:val="DefaultParagraphFont"/>
    <w:link w:val="BalloonText"/>
    <w:semiHidden/>
    <w:rsid w:val="00101C13"/>
    <w:rPr>
      <w:rFonts w:ascii="Tahoma" w:eastAsia="Times New Roman" w:hAnsi="Tahoma" w:cs="Tahoma"/>
      <w:kern w:val="14"/>
      <w:sz w:val="16"/>
      <w:szCs w:val="16"/>
      <w:lang w:val="en-US"/>
    </w:rPr>
  </w:style>
  <w:style w:type="paragraph" w:styleId="BalloonText">
    <w:name w:val="Balloon Text"/>
    <w:basedOn w:val="Normal"/>
    <w:link w:val="BalloonTextChar"/>
    <w:semiHidden/>
    <w:unhideWhenUsed/>
    <w:rsid w:val="00101C13"/>
    <w:pPr>
      <w:suppressAutoHyphens/>
      <w:overflowPunct w:val="0"/>
      <w:autoSpaceDE w:val="0"/>
      <w:autoSpaceDN w:val="0"/>
      <w:adjustRightInd w:val="0"/>
      <w:spacing w:after="0" w:line="240" w:lineRule="auto"/>
      <w:jc w:val="both"/>
    </w:pPr>
    <w:rPr>
      <w:rFonts w:ascii="Tahoma" w:eastAsia="Times New Roman" w:hAnsi="Tahoma" w:cs="Tahoma"/>
      <w:kern w:val="14"/>
      <w:sz w:val="16"/>
      <w:szCs w:val="16"/>
      <w:lang w:val="en-US"/>
    </w:rPr>
  </w:style>
  <w:style w:type="paragraph" w:styleId="ListParagraph">
    <w:name w:val="List Paragraph"/>
    <w:basedOn w:val="Normal"/>
    <w:uiPriority w:val="34"/>
    <w:qFormat/>
    <w:rsid w:val="00101C13"/>
    <w:pPr>
      <w:ind w:left="720"/>
      <w:contextualSpacing/>
    </w:pPr>
  </w:style>
  <w:style w:type="paragraph" w:customStyle="1" w:styleId="DocumentNumber">
    <w:name w:val="Document Number"/>
    <w:basedOn w:val="Normal"/>
    <w:next w:val="BodyTextIndent"/>
    <w:rsid w:val="00101C13"/>
    <w:pPr>
      <w:suppressAutoHyphens/>
      <w:overflowPunct w:val="0"/>
      <w:autoSpaceDE w:val="0"/>
      <w:autoSpaceDN w:val="0"/>
      <w:adjustRightInd w:val="0"/>
      <w:spacing w:before="900" w:after="0" w:line="240" w:lineRule="auto"/>
      <w:jc w:val="right"/>
    </w:pPr>
    <w:rPr>
      <w:rFonts w:ascii="Arial" w:eastAsia="Times New Roman" w:hAnsi="Arial" w:cs="Times New Roman"/>
      <w:b/>
      <w:kern w:val="14"/>
      <w:sz w:val="36"/>
      <w:szCs w:val="20"/>
      <w:lang w:val="en-US"/>
    </w:rPr>
  </w:style>
  <w:style w:type="paragraph" w:customStyle="1" w:styleId="Author">
    <w:name w:val="Author"/>
    <w:basedOn w:val="Normal"/>
    <w:next w:val="Affiliation"/>
    <w:rsid w:val="00101C13"/>
    <w:pPr>
      <w:keepNext/>
      <w:suppressAutoHyphens/>
      <w:overflowPunct w:val="0"/>
      <w:autoSpaceDE w:val="0"/>
      <w:autoSpaceDN w:val="0"/>
      <w:adjustRightInd w:val="0"/>
      <w:spacing w:after="0" w:line="240" w:lineRule="auto"/>
      <w:jc w:val="center"/>
    </w:pPr>
    <w:rPr>
      <w:rFonts w:ascii="Arial" w:eastAsia="Times New Roman" w:hAnsi="Arial" w:cs="Times New Roman"/>
      <w:b/>
      <w:kern w:val="14"/>
      <w:sz w:val="20"/>
      <w:szCs w:val="20"/>
      <w:lang w:val="en-US"/>
    </w:rPr>
  </w:style>
  <w:style w:type="paragraph" w:customStyle="1" w:styleId="Affiliation">
    <w:name w:val="Affiliation"/>
    <w:basedOn w:val="Normal"/>
    <w:rsid w:val="00101C13"/>
    <w:pPr>
      <w:suppressAutoHyphens/>
      <w:overflowPunct w:val="0"/>
      <w:autoSpaceDE w:val="0"/>
      <w:autoSpaceDN w:val="0"/>
      <w:adjustRightInd w:val="0"/>
      <w:spacing w:after="0" w:line="240" w:lineRule="auto"/>
      <w:jc w:val="center"/>
    </w:pPr>
    <w:rPr>
      <w:rFonts w:ascii="Arial" w:eastAsia="Times New Roman" w:hAnsi="Arial" w:cs="Times New Roman"/>
      <w:kern w:val="14"/>
      <w:sz w:val="20"/>
      <w:szCs w:val="20"/>
      <w:lang w:val="en-US"/>
    </w:rPr>
  </w:style>
  <w:style w:type="paragraph" w:customStyle="1" w:styleId="AbstractClauseTitle">
    <w:name w:val="Abstract Clause Title"/>
    <w:basedOn w:val="Normal"/>
    <w:next w:val="BodyTextIndent"/>
    <w:rsid w:val="00101C13"/>
    <w:pPr>
      <w:keepNext/>
      <w:suppressAutoHyphens/>
      <w:overflowPunct w:val="0"/>
      <w:autoSpaceDE w:val="0"/>
      <w:autoSpaceDN w:val="0"/>
      <w:adjustRightInd w:val="0"/>
      <w:spacing w:after="0" w:line="240" w:lineRule="auto"/>
      <w:jc w:val="both"/>
    </w:pPr>
    <w:rPr>
      <w:rFonts w:ascii="Arial" w:eastAsia="Times New Roman" w:hAnsi="Arial" w:cs="Times New Roman"/>
      <w:b/>
      <w:caps/>
      <w:kern w:val="14"/>
      <w:sz w:val="20"/>
      <w:szCs w:val="20"/>
      <w:lang w:val="en-US"/>
    </w:rPr>
  </w:style>
  <w:style w:type="paragraph" w:customStyle="1" w:styleId="NomenclatureClauseTitle">
    <w:name w:val="Nomenclature Clause Title"/>
    <w:basedOn w:val="Normal"/>
    <w:next w:val="BodyTextIndent"/>
    <w:rsid w:val="00101C13"/>
    <w:pPr>
      <w:keepNext/>
      <w:suppressAutoHyphens/>
      <w:overflowPunct w:val="0"/>
      <w:autoSpaceDE w:val="0"/>
      <w:autoSpaceDN w:val="0"/>
      <w:adjustRightInd w:val="0"/>
      <w:spacing w:before="240" w:after="0" w:line="240" w:lineRule="auto"/>
      <w:jc w:val="both"/>
    </w:pPr>
    <w:rPr>
      <w:rFonts w:ascii="Arial" w:eastAsia="Times New Roman" w:hAnsi="Arial" w:cs="Times New Roman"/>
      <w:b/>
      <w:caps/>
      <w:kern w:val="14"/>
      <w:sz w:val="20"/>
      <w:szCs w:val="20"/>
      <w:lang w:val="en-US"/>
    </w:rPr>
  </w:style>
  <w:style w:type="paragraph" w:styleId="Caption">
    <w:name w:val="caption"/>
    <w:basedOn w:val="Normal"/>
    <w:next w:val="Normal"/>
    <w:uiPriority w:val="35"/>
    <w:semiHidden/>
    <w:unhideWhenUsed/>
    <w:qFormat/>
    <w:rsid w:val="00101C13"/>
    <w:rPr>
      <w:rFonts w:ascii="Calibri" w:eastAsia="SimSun" w:hAnsi="Calibri" w:cs="Arial"/>
      <w:b/>
      <w:bCs/>
      <w:sz w:val="20"/>
      <w:szCs w:val="20"/>
      <w:lang w:eastAsia="zh-CN" w:bidi="he-IL"/>
    </w:rPr>
  </w:style>
  <w:style w:type="paragraph" w:customStyle="1" w:styleId="AcknowledgmentsClauseTitle">
    <w:name w:val="Acknowledgments Clause Title"/>
    <w:basedOn w:val="Normal"/>
    <w:next w:val="BodyTextIndent"/>
    <w:rsid w:val="00101C13"/>
    <w:pPr>
      <w:keepNext/>
      <w:suppressAutoHyphens/>
      <w:overflowPunct w:val="0"/>
      <w:autoSpaceDE w:val="0"/>
      <w:autoSpaceDN w:val="0"/>
      <w:adjustRightInd w:val="0"/>
      <w:spacing w:before="240" w:after="0" w:line="240" w:lineRule="auto"/>
      <w:jc w:val="both"/>
    </w:pPr>
    <w:rPr>
      <w:rFonts w:ascii="Arial" w:eastAsia="Times New Roman" w:hAnsi="Arial" w:cs="Times New Roman"/>
      <w:b/>
      <w:caps/>
      <w:kern w:val="14"/>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semiHidden/>
    <w:rsid w:val="00101C13"/>
    <w:rPr>
      <w:rFonts w:ascii="Times New Roman" w:eastAsia="Times New Roman" w:hAnsi="Times New Roman" w:cs="Times New Roman"/>
      <w:kern w:val="14"/>
      <w:sz w:val="16"/>
      <w:szCs w:val="20"/>
      <w:lang w:val="en-US"/>
    </w:rPr>
  </w:style>
  <w:style w:type="paragraph" w:styleId="FootnoteText">
    <w:name w:val="footnote text"/>
    <w:basedOn w:val="Normal"/>
    <w:link w:val="FootnoteTextChar"/>
    <w:semiHidden/>
    <w:unhideWhenUsed/>
    <w:rsid w:val="00101C13"/>
    <w:pPr>
      <w:suppressAutoHyphens/>
      <w:overflowPunct w:val="0"/>
      <w:autoSpaceDE w:val="0"/>
      <w:autoSpaceDN w:val="0"/>
      <w:adjustRightInd w:val="0"/>
      <w:spacing w:after="0" w:line="240" w:lineRule="auto"/>
      <w:ind w:firstLine="360"/>
      <w:jc w:val="both"/>
    </w:pPr>
    <w:rPr>
      <w:rFonts w:ascii="Times New Roman" w:eastAsia="Times New Roman" w:hAnsi="Times New Roman" w:cs="Times New Roman"/>
      <w:kern w:val="14"/>
      <w:sz w:val="16"/>
      <w:szCs w:val="20"/>
      <w:lang w:val="en-US"/>
    </w:rPr>
  </w:style>
  <w:style w:type="character" w:customStyle="1" w:styleId="CommentTextChar">
    <w:name w:val="Comment Text Char"/>
    <w:basedOn w:val="DefaultParagraphFont"/>
    <w:link w:val="CommentText"/>
    <w:uiPriority w:val="99"/>
    <w:semiHidden/>
    <w:rsid w:val="00101C13"/>
    <w:rPr>
      <w:rFonts w:ascii="Calibri" w:eastAsia="SimSun" w:hAnsi="Calibri" w:cs="Arial"/>
      <w:sz w:val="20"/>
      <w:szCs w:val="20"/>
      <w:lang w:val="x-none" w:eastAsia="zh-CN" w:bidi="he-IL"/>
    </w:rPr>
  </w:style>
  <w:style w:type="paragraph" w:styleId="CommentText">
    <w:name w:val="annotation text"/>
    <w:basedOn w:val="Normal"/>
    <w:link w:val="CommentTextChar"/>
    <w:uiPriority w:val="99"/>
    <w:semiHidden/>
    <w:unhideWhenUsed/>
    <w:rsid w:val="00101C13"/>
    <w:rPr>
      <w:rFonts w:ascii="Calibri" w:eastAsia="SimSun" w:hAnsi="Calibri" w:cs="Arial"/>
      <w:sz w:val="20"/>
      <w:szCs w:val="20"/>
      <w:lang w:val="x-none" w:eastAsia="zh-CN" w:bidi="he-IL"/>
    </w:rPr>
  </w:style>
  <w:style w:type="character" w:customStyle="1" w:styleId="FooterChar">
    <w:name w:val="Footer Char"/>
    <w:basedOn w:val="DefaultParagraphFont"/>
    <w:link w:val="Footer"/>
    <w:semiHidden/>
    <w:rsid w:val="00101C13"/>
    <w:rPr>
      <w:rFonts w:ascii="Times New Roman" w:eastAsia="Times New Roman" w:hAnsi="Times New Roman" w:cs="Times New Roman"/>
      <w:kern w:val="14"/>
      <w:sz w:val="20"/>
      <w:szCs w:val="20"/>
      <w:lang w:val="en-US"/>
    </w:rPr>
  </w:style>
  <w:style w:type="paragraph" w:styleId="Footer">
    <w:name w:val="footer"/>
    <w:basedOn w:val="Normal"/>
    <w:next w:val="Header"/>
    <w:link w:val="FooterChar"/>
    <w:semiHidden/>
    <w:unhideWhenUsed/>
    <w:rsid w:val="00101C13"/>
    <w:pPr>
      <w:tabs>
        <w:tab w:val="center" w:pos="5760"/>
        <w:tab w:val="right" w:pos="10800"/>
      </w:tabs>
      <w:suppressAutoHyphens/>
      <w:overflowPunct w:val="0"/>
      <w:autoSpaceDE w:val="0"/>
      <w:autoSpaceDN w:val="0"/>
      <w:adjustRightInd w:val="0"/>
      <w:spacing w:after="0" w:line="240" w:lineRule="auto"/>
      <w:jc w:val="both"/>
    </w:pPr>
    <w:rPr>
      <w:rFonts w:ascii="Times New Roman" w:eastAsia="Times New Roman" w:hAnsi="Times New Roman" w:cs="Times New Roman"/>
      <w:kern w:val="14"/>
      <w:sz w:val="20"/>
      <w:szCs w:val="20"/>
      <w:lang w:val="en-US"/>
    </w:rPr>
  </w:style>
  <w:style w:type="paragraph" w:styleId="Header">
    <w:name w:val="header"/>
    <w:basedOn w:val="Normal"/>
    <w:next w:val="Footer"/>
    <w:link w:val="HeaderChar"/>
    <w:semiHidden/>
    <w:unhideWhenUsed/>
    <w:rsid w:val="00101C13"/>
    <w:pPr>
      <w:suppressAutoHyphens/>
      <w:overflowPunct w:val="0"/>
      <w:autoSpaceDE w:val="0"/>
      <w:autoSpaceDN w:val="0"/>
      <w:adjustRightInd w:val="0"/>
      <w:spacing w:after="0" w:line="240" w:lineRule="auto"/>
      <w:jc w:val="both"/>
    </w:pPr>
    <w:rPr>
      <w:rFonts w:ascii="Times New Roman" w:eastAsia="Times New Roman" w:hAnsi="Times New Roman" w:cs="Times New Roman"/>
      <w:kern w:val="14"/>
      <w:sz w:val="20"/>
      <w:szCs w:val="20"/>
      <w:lang w:val="en-US"/>
    </w:rPr>
  </w:style>
  <w:style w:type="character" w:customStyle="1" w:styleId="HeaderChar">
    <w:name w:val="Header Char"/>
    <w:basedOn w:val="DefaultParagraphFont"/>
    <w:link w:val="Header"/>
    <w:semiHidden/>
    <w:rsid w:val="00101C13"/>
    <w:rPr>
      <w:rFonts w:ascii="Times New Roman" w:eastAsia="Times New Roman" w:hAnsi="Times New Roman" w:cs="Times New Roman"/>
      <w:kern w:val="14"/>
      <w:sz w:val="20"/>
      <w:szCs w:val="20"/>
      <w:lang w:val="en-US"/>
    </w:rPr>
  </w:style>
  <w:style w:type="character" w:customStyle="1" w:styleId="TitleChar">
    <w:name w:val="Title Char"/>
    <w:basedOn w:val="DefaultParagraphFont"/>
    <w:link w:val="Title"/>
    <w:rsid w:val="00101C13"/>
    <w:rPr>
      <w:rFonts w:ascii="Arial" w:eastAsia="Times New Roman" w:hAnsi="Arial" w:cs="Times New Roman"/>
      <w:b/>
      <w:caps/>
      <w:kern w:val="14"/>
      <w:sz w:val="24"/>
      <w:szCs w:val="20"/>
      <w:lang w:val="en-US"/>
    </w:rPr>
  </w:style>
  <w:style w:type="paragraph" w:styleId="Title">
    <w:name w:val="Title"/>
    <w:basedOn w:val="Normal"/>
    <w:link w:val="TitleChar"/>
    <w:qFormat/>
    <w:rsid w:val="00101C13"/>
    <w:pPr>
      <w:suppressAutoHyphens/>
      <w:overflowPunct w:val="0"/>
      <w:autoSpaceDE w:val="0"/>
      <w:autoSpaceDN w:val="0"/>
      <w:adjustRightInd w:val="0"/>
      <w:spacing w:before="760" w:after="0" w:line="240" w:lineRule="auto"/>
      <w:jc w:val="center"/>
    </w:pPr>
    <w:rPr>
      <w:rFonts w:ascii="Arial" w:eastAsia="Times New Roman" w:hAnsi="Arial" w:cs="Times New Roman"/>
      <w:b/>
      <w:caps/>
      <w:kern w:val="14"/>
      <w:sz w:val="24"/>
      <w:szCs w:val="20"/>
      <w:lang w:val="en-US"/>
    </w:rPr>
  </w:style>
  <w:style w:type="character" w:customStyle="1" w:styleId="BodyTextIndentChar">
    <w:name w:val="Body Text Indent Char"/>
    <w:basedOn w:val="DefaultParagraphFont"/>
    <w:link w:val="BodyTextIndent"/>
    <w:semiHidden/>
    <w:rsid w:val="00101C13"/>
    <w:rPr>
      <w:rFonts w:ascii="Times New Roman" w:eastAsia="Times New Roman" w:hAnsi="Times New Roman" w:cs="Times New Roman"/>
      <w:kern w:val="14"/>
      <w:sz w:val="20"/>
      <w:szCs w:val="20"/>
      <w:lang w:val="en-US"/>
    </w:rPr>
  </w:style>
  <w:style w:type="paragraph" w:styleId="BodyTextIndent">
    <w:name w:val="Body Text Indent"/>
    <w:basedOn w:val="Normal"/>
    <w:link w:val="BodyTextIndentChar"/>
    <w:semiHidden/>
    <w:unhideWhenUsed/>
    <w:rsid w:val="00101C13"/>
    <w:pPr>
      <w:suppressAutoHyphens/>
      <w:overflowPunct w:val="0"/>
      <w:autoSpaceDE w:val="0"/>
      <w:autoSpaceDN w:val="0"/>
      <w:adjustRightInd w:val="0"/>
      <w:spacing w:after="0" w:line="240" w:lineRule="auto"/>
      <w:ind w:firstLine="360"/>
      <w:jc w:val="both"/>
    </w:pPr>
    <w:rPr>
      <w:rFonts w:ascii="Times New Roman" w:eastAsia="Times New Roman" w:hAnsi="Times New Roman" w:cs="Times New Roman"/>
      <w:kern w:val="14"/>
      <w:sz w:val="20"/>
      <w:szCs w:val="20"/>
      <w:lang w:val="en-US"/>
    </w:rPr>
  </w:style>
  <w:style w:type="character" w:customStyle="1" w:styleId="PlainTextChar">
    <w:name w:val="Plain Text Char"/>
    <w:basedOn w:val="DefaultParagraphFont"/>
    <w:link w:val="PlainText"/>
    <w:semiHidden/>
    <w:rsid w:val="00101C13"/>
    <w:rPr>
      <w:rFonts w:ascii="Courier New" w:eastAsia="Times New Roman" w:hAnsi="Courier New" w:cs="Courier New"/>
      <w:sz w:val="20"/>
      <w:szCs w:val="20"/>
      <w:lang w:val="en-US"/>
    </w:rPr>
  </w:style>
  <w:style w:type="paragraph" w:styleId="PlainText">
    <w:name w:val="Plain Text"/>
    <w:basedOn w:val="Normal"/>
    <w:link w:val="PlainTextChar"/>
    <w:semiHidden/>
    <w:unhideWhenUsed/>
    <w:rsid w:val="00101C13"/>
    <w:pPr>
      <w:spacing w:after="0" w:line="240" w:lineRule="auto"/>
    </w:pPr>
    <w:rPr>
      <w:rFonts w:ascii="Courier New" w:eastAsia="Times New Roman" w:hAnsi="Courier New" w:cs="Courier New"/>
      <w:sz w:val="20"/>
      <w:szCs w:val="20"/>
      <w:lang w:val="en-US"/>
    </w:rPr>
  </w:style>
  <w:style w:type="character" w:customStyle="1" w:styleId="BalloonTextChar">
    <w:name w:val="Balloon Text Char"/>
    <w:basedOn w:val="DefaultParagraphFont"/>
    <w:link w:val="BalloonText"/>
    <w:semiHidden/>
    <w:rsid w:val="00101C13"/>
    <w:rPr>
      <w:rFonts w:ascii="Tahoma" w:eastAsia="Times New Roman" w:hAnsi="Tahoma" w:cs="Tahoma"/>
      <w:kern w:val="14"/>
      <w:sz w:val="16"/>
      <w:szCs w:val="16"/>
      <w:lang w:val="en-US"/>
    </w:rPr>
  </w:style>
  <w:style w:type="paragraph" w:styleId="BalloonText">
    <w:name w:val="Balloon Text"/>
    <w:basedOn w:val="Normal"/>
    <w:link w:val="BalloonTextChar"/>
    <w:semiHidden/>
    <w:unhideWhenUsed/>
    <w:rsid w:val="00101C13"/>
    <w:pPr>
      <w:suppressAutoHyphens/>
      <w:overflowPunct w:val="0"/>
      <w:autoSpaceDE w:val="0"/>
      <w:autoSpaceDN w:val="0"/>
      <w:adjustRightInd w:val="0"/>
      <w:spacing w:after="0" w:line="240" w:lineRule="auto"/>
      <w:jc w:val="both"/>
    </w:pPr>
    <w:rPr>
      <w:rFonts w:ascii="Tahoma" w:eastAsia="Times New Roman" w:hAnsi="Tahoma" w:cs="Tahoma"/>
      <w:kern w:val="14"/>
      <w:sz w:val="16"/>
      <w:szCs w:val="16"/>
      <w:lang w:val="en-US"/>
    </w:rPr>
  </w:style>
  <w:style w:type="paragraph" w:styleId="ListParagraph">
    <w:name w:val="List Paragraph"/>
    <w:basedOn w:val="Normal"/>
    <w:uiPriority w:val="34"/>
    <w:qFormat/>
    <w:rsid w:val="00101C13"/>
    <w:pPr>
      <w:ind w:left="720"/>
      <w:contextualSpacing/>
    </w:pPr>
  </w:style>
  <w:style w:type="paragraph" w:customStyle="1" w:styleId="DocumentNumber">
    <w:name w:val="Document Number"/>
    <w:basedOn w:val="Normal"/>
    <w:next w:val="BodyTextIndent"/>
    <w:rsid w:val="00101C13"/>
    <w:pPr>
      <w:suppressAutoHyphens/>
      <w:overflowPunct w:val="0"/>
      <w:autoSpaceDE w:val="0"/>
      <w:autoSpaceDN w:val="0"/>
      <w:adjustRightInd w:val="0"/>
      <w:spacing w:before="900" w:after="0" w:line="240" w:lineRule="auto"/>
      <w:jc w:val="right"/>
    </w:pPr>
    <w:rPr>
      <w:rFonts w:ascii="Arial" w:eastAsia="Times New Roman" w:hAnsi="Arial" w:cs="Times New Roman"/>
      <w:b/>
      <w:kern w:val="14"/>
      <w:sz w:val="36"/>
      <w:szCs w:val="20"/>
      <w:lang w:val="en-US"/>
    </w:rPr>
  </w:style>
  <w:style w:type="paragraph" w:customStyle="1" w:styleId="Author">
    <w:name w:val="Author"/>
    <w:basedOn w:val="Normal"/>
    <w:next w:val="Affiliation"/>
    <w:rsid w:val="00101C13"/>
    <w:pPr>
      <w:keepNext/>
      <w:suppressAutoHyphens/>
      <w:overflowPunct w:val="0"/>
      <w:autoSpaceDE w:val="0"/>
      <w:autoSpaceDN w:val="0"/>
      <w:adjustRightInd w:val="0"/>
      <w:spacing w:after="0" w:line="240" w:lineRule="auto"/>
      <w:jc w:val="center"/>
    </w:pPr>
    <w:rPr>
      <w:rFonts w:ascii="Arial" w:eastAsia="Times New Roman" w:hAnsi="Arial" w:cs="Times New Roman"/>
      <w:b/>
      <w:kern w:val="14"/>
      <w:sz w:val="20"/>
      <w:szCs w:val="20"/>
      <w:lang w:val="en-US"/>
    </w:rPr>
  </w:style>
  <w:style w:type="paragraph" w:customStyle="1" w:styleId="Affiliation">
    <w:name w:val="Affiliation"/>
    <w:basedOn w:val="Normal"/>
    <w:rsid w:val="00101C13"/>
    <w:pPr>
      <w:suppressAutoHyphens/>
      <w:overflowPunct w:val="0"/>
      <w:autoSpaceDE w:val="0"/>
      <w:autoSpaceDN w:val="0"/>
      <w:adjustRightInd w:val="0"/>
      <w:spacing w:after="0" w:line="240" w:lineRule="auto"/>
      <w:jc w:val="center"/>
    </w:pPr>
    <w:rPr>
      <w:rFonts w:ascii="Arial" w:eastAsia="Times New Roman" w:hAnsi="Arial" w:cs="Times New Roman"/>
      <w:kern w:val="14"/>
      <w:sz w:val="20"/>
      <w:szCs w:val="20"/>
      <w:lang w:val="en-US"/>
    </w:rPr>
  </w:style>
  <w:style w:type="paragraph" w:customStyle="1" w:styleId="AbstractClauseTitle">
    <w:name w:val="Abstract Clause Title"/>
    <w:basedOn w:val="Normal"/>
    <w:next w:val="BodyTextIndent"/>
    <w:rsid w:val="00101C13"/>
    <w:pPr>
      <w:keepNext/>
      <w:suppressAutoHyphens/>
      <w:overflowPunct w:val="0"/>
      <w:autoSpaceDE w:val="0"/>
      <w:autoSpaceDN w:val="0"/>
      <w:adjustRightInd w:val="0"/>
      <w:spacing w:after="0" w:line="240" w:lineRule="auto"/>
      <w:jc w:val="both"/>
    </w:pPr>
    <w:rPr>
      <w:rFonts w:ascii="Arial" w:eastAsia="Times New Roman" w:hAnsi="Arial" w:cs="Times New Roman"/>
      <w:b/>
      <w:caps/>
      <w:kern w:val="14"/>
      <w:sz w:val="20"/>
      <w:szCs w:val="20"/>
      <w:lang w:val="en-US"/>
    </w:rPr>
  </w:style>
  <w:style w:type="paragraph" w:customStyle="1" w:styleId="NomenclatureClauseTitle">
    <w:name w:val="Nomenclature Clause Title"/>
    <w:basedOn w:val="Normal"/>
    <w:next w:val="BodyTextIndent"/>
    <w:rsid w:val="00101C13"/>
    <w:pPr>
      <w:keepNext/>
      <w:suppressAutoHyphens/>
      <w:overflowPunct w:val="0"/>
      <w:autoSpaceDE w:val="0"/>
      <w:autoSpaceDN w:val="0"/>
      <w:adjustRightInd w:val="0"/>
      <w:spacing w:before="240" w:after="0" w:line="240" w:lineRule="auto"/>
      <w:jc w:val="both"/>
    </w:pPr>
    <w:rPr>
      <w:rFonts w:ascii="Arial" w:eastAsia="Times New Roman" w:hAnsi="Arial" w:cs="Times New Roman"/>
      <w:b/>
      <w:caps/>
      <w:kern w:val="14"/>
      <w:sz w:val="20"/>
      <w:szCs w:val="20"/>
      <w:lang w:val="en-US"/>
    </w:rPr>
  </w:style>
  <w:style w:type="paragraph" w:styleId="Caption">
    <w:name w:val="caption"/>
    <w:basedOn w:val="Normal"/>
    <w:next w:val="Normal"/>
    <w:uiPriority w:val="35"/>
    <w:semiHidden/>
    <w:unhideWhenUsed/>
    <w:qFormat/>
    <w:rsid w:val="00101C13"/>
    <w:rPr>
      <w:rFonts w:ascii="Calibri" w:eastAsia="SimSun" w:hAnsi="Calibri" w:cs="Arial"/>
      <w:b/>
      <w:bCs/>
      <w:sz w:val="20"/>
      <w:szCs w:val="20"/>
      <w:lang w:eastAsia="zh-CN" w:bidi="he-IL"/>
    </w:rPr>
  </w:style>
  <w:style w:type="paragraph" w:customStyle="1" w:styleId="AcknowledgmentsClauseTitle">
    <w:name w:val="Acknowledgments Clause Title"/>
    <w:basedOn w:val="Normal"/>
    <w:next w:val="BodyTextIndent"/>
    <w:rsid w:val="00101C13"/>
    <w:pPr>
      <w:keepNext/>
      <w:suppressAutoHyphens/>
      <w:overflowPunct w:val="0"/>
      <w:autoSpaceDE w:val="0"/>
      <w:autoSpaceDN w:val="0"/>
      <w:adjustRightInd w:val="0"/>
      <w:spacing w:before="240" w:after="0" w:line="240" w:lineRule="auto"/>
      <w:jc w:val="both"/>
    </w:pPr>
    <w:rPr>
      <w:rFonts w:ascii="Arial" w:eastAsia="Times New Roman" w:hAnsi="Arial" w:cs="Times New Roman"/>
      <w:b/>
      <w:caps/>
      <w:kern w:val="14"/>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26330">
      <w:bodyDiv w:val="1"/>
      <w:marLeft w:val="0"/>
      <w:marRight w:val="0"/>
      <w:marTop w:val="0"/>
      <w:marBottom w:val="0"/>
      <w:divBdr>
        <w:top w:val="none" w:sz="0" w:space="0" w:color="auto"/>
        <w:left w:val="none" w:sz="0" w:space="0" w:color="auto"/>
        <w:bottom w:val="none" w:sz="0" w:space="0" w:color="auto"/>
        <w:right w:val="none" w:sz="0" w:space="0" w:color="auto"/>
      </w:divBdr>
    </w:div>
    <w:div w:id="1415400903">
      <w:bodyDiv w:val="1"/>
      <w:marLeft w:val="0"/>
      <w:marRight w:val="0"/>
      <w:marTop w:val="0"/>
      <w:marBottom w:val="0"/>
      <w:divBdr>
        <w:top w:val="none" w:sz="0" w:space="0" w:color="auto"/>
        <w:left w:val="none" w:sz="0" w:space="0" w:color="auto"/>
        <w:bottom w:val="none" w:sz="0" w:space="0" w:color="auto"/>
        <w:right w:val="none" w:sz="0" w:space="0" w:color="auto"/>
      </w:divBdr>
    </w:div>
    <w:div w:id="20099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Celal</dc:creator>
  <cp:lastModifiedBy>Celal</cp:lastModifiedBy>
  <cp:revision>3</cp:revision>
  <dcterms:created xsi:type="dcterms:W3CDTF">2012-05-10T21:21:00Z</dcterms:created>
  <dcterms:modified xsi:type="dcterms:W3CDTF">2012-05-10T21:35:00Z</dcterms:modified>
</cp:coreProperties>
</file>