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Georgia" w:cs="Georgia" w:eastAsia="Georgia" w:hAnsi="Georgia"/>
          <w:color w:val="8B2D3A"/>
          <w:sz w:val="72"/>
          <w:szCs w:val="72"/>
        </w:rPr>
        <w:t xml:space="preserve">C E L A R I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C87941"/>
          <w:sz w:val="24"/>
          <w:szCs w:val="24"/>
        </w:rPr>
        <w:t xml:space="preserve">— ◇ —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5A4E48"/>
          <w:sz w:val="32"/>
          <w:szCs w:val="32"/>
        </w:rPr>
        <w:t xml:space="preserve">Brand Guidelines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8A7A70"/>
          <w:sz w:val="20"/>
          <w:szCs w:val="20"/>
        </w:rPr>
        <w:t xml:space="preserve">Alternative Direction: Geometric / Art Deco</w:t>
      </w:r>
    </w:p>
    <w:p>
      <w:pPr>
        <w:jc w:val="center"/>
      </w:pPr>
      <w:r>
        <w:rPr>
          <w:rFonts w:ascii="Georgia" w:cs="Georgia" w:eastAsia="Georgia" w:hAnsi="Georgia"/>
          <w:color w:val="8A7A70"/>
          <w:sz w:val="20"/>
          <w:szCs w:val="20"/>
        </w:rPr>
        <w:t xml:space="preserve">Warm Dark Palette · Aztec Influence</w:t>
      </w:r>
    </w:p>
    <w:p>
      <w:pPr>
        <w:spacing w:before="2400"/>
        <w:jc w:val="center"/>
      </w:pPr>
      <w:r>
        <w:rPr>
          <w:rFonts w:ascii="Georgia" w:cs="Georgia" w:eastAsia="Georgia" w:hAnsi="Georgia"/>
          <w:color w:val="BCA898"/>
          <w:sz w:val="18"/>
          <w:szCs w:val="18"/>
        </w:rPr>
        <w:t xml:space="preserve">Confidential ·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Brand Overview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Brand Essence</w:t>
      </w:r>
    </w:p>
    <w:p>
      <w:pPr>
        <w:spacing w:after="120"/>
      </w:pPr>
      <w:r>
        <w:t xml:space="preserve">Celari (from Latin celāre — to hide, to conceal) is a privacy-first cryptocurrency wallet built on the Aztec Network. This alternative brand direction draws from Art Deco architecture, Aztec geometric traditions, and the warmth of aged metals — burgundy, copper, bronze.</w:t>
      </w:r>
    </w:p>
    <w:p>
      <w:pPr>
        <w:spacing w:after="200"/>
      </w:pPr>
      <w:r>
        <w:t xml:space="preserve">Where the primary brand conveys old-money refinement, this direction evokes sacred geometry — temples, vaults, and ancient knowledge systems. Privacy as something timeless and structural, not merely technical.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Design Philosophy</w:t>
      </w:r>
    </w:p>
    <w:p>
      <w:pPr>
        <w:spacing w:after="120"/>
      </w:pPr>
      <w:r>
        <w:t xml:space="preserve">Geometric Precision: Every element follows hexagonal or stepped-pyramid geometry. The hexagon represents the wallet’s encrypted architecture; the stepped layers reference Aztec temples and graduated privacy proofs.</w:t>
      </w:r>
    </w:p>
    <w:p>
      <w:pPr>
        <w:spacing w:after="120"/>
      </w:pPr>
      <w:r>
        <w:t xml:space="preserve">Warm Darkness: Unlike cold crypto aesthetics, Celari Alt uses burgundy and copper on obsidian backgrounds. The palette feels like entering a candlelit vault — secure, warm, intentional.</w:t>
      </w:r>
    </w:p>
    <w:p>
      <w:pPr>
        <w:spacing w:after="200"/>
      </w:pPr>
      <w:r>
        <w:t xml:space="preserve">Art Deco Detailing: Corner frames, diamond separators, stepped borders, and sunburst motifs create visual hierarchy without decorative excess. Every ornament has purpose.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Brand Voice</w:t>
      </w:r>
    </w:p>
    <w:p>
      <w:pPr>
        <w:spacing w:after="100"/>
      </w:pPr>
      <w:r>
        <w:t xml:space="preserve">Quiet authority with ceremonial weight. Language should feel like inscriptions on stone — precise, measured, permanent.</w:t>
      </w:r>
    </w:p>
    <w:p>
      <w:pPr>
        <w:spacing w:after="100"/>
      </w:pPr>
      <w:r>
        <w:rPr>
          <w:i/>
          <w:iCs/>
          <w:color w:val="8A7A70"/>
        </w:rPr>
        <w:t xml:space="preserve">Example: </w:t>
      </w:r>
      <w:r>
        <w:rPr>
          <w:color w:val="8B2D3A"/>
        </w:rPr>
        <w:t xml:space="preserve">"Privacy is not a feature. It’s architecture."</w:t>
      </w:r>
    </w:p>
    <w:p>
      <w:pPr>
        <w:spacing w:after="100"/>
      </w:pPr>
      <w:r>
        <w:rPr>
          <w:i/>
          <w:iCs/>
          <w:color w:val="8A7A70"/>
        </w:rPr>
        <w:t xml:space="preserve">Not: </w:t>
      </w:r>
      <w:r>
        <w:rPr>
          <w:strike/>
          <w:color w:val="BCA898"/>
        </w:rPr>
        <w:t xml:space="preserve">"The MOST PRIVATE wallet EVER!!!"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Logo System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Logomark: The Temple Key</w:t>
      </w:r>
    </w:p>
    <w:p>
      <w:pPr>
        <w:spacing w:after="120"/>
      </w:pPr>
      <w:r>
        <w:t xml:space="preserve">The primary mark is a hexagonal form containing a stepped pyramid (Aztec temple reference) with a geometric keyhole at its apex. The hexagon represents the encrypted container; the stepped layers symbolize graduated privacy proofs; the keyhole represents passkey-based access.</w:t>
      </w:r>
    </w:p>
    <w:p>
      <w:pPr>
        <w:spacing w:after="120"/>
      </w:pPr>
      <w:r>
        <w:t xml:space="preserve">Art Deco sunburst lines radiate from the top vertex, and small diamond accents mark the cardinal points of the outer hexagonal frame.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Wordmark</w:t>
      </w:r>
    </w:p>
    <w:p>
      <w:pPr>
        <w:spacing w:after="120"/>
      </w:pPr>
      <w:r>
        <w:t xml:space="preserve">The wordmark uses Poiret One — an Art Deco geometric display typeface. All caps with generous letter-spacing (10–16px at display size). The geometric construction of Poiret One mirrors the hexagonal mark.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Separator Element</w:t>
      </w:r>
    </w:p>
    <w:p>
      <w:pPr>
        <w:spacing w:after="120"/>
      </w:pPr>
      <w:r>
        <w:t xml:space="preserve">Between mark/wordmark and tagline: twin lines flanking a copper diamond (◇). This Art Deco separator is a core brand element used throughout all collateral.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Variant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Dark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8A7A70"/>
                <w:sz w:val="20"/>
                <w:szCs w:val="20"/>
              </w:rPr>
              <w:t xml:space="preserve">Obsidian #0D0A0A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Default. Copper mark, warm white text.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Warm Dark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8A7A70"/>
                <w:sz w:val="20"/>
                <w:szCs w:val="20"/>
              </w:rPr>
              <w:t xml:space="preserve">#1A1214 gradient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Hero sections, feature displays.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Burgundy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8A7A70"/>
                <w:sz w:val="20"/>
                <w:szCs w:val="20"/>
              </w:rPr>
              <w:t xml:space="preserve">#5C1D28 gradient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Premium contexts. Ivory mark.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8A7A70"/>
                <w:sz w:val="20"/>
                <w:szCs w:val="20"/>
              </w:rPr>
              <w:t xml:space="preserve">#F2EBE4 Parchment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 mode. Burgundy mark + dark text.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Monochrome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8A7A70"/>
                <w:sz w:val="20"/>
                <w:szCs w:val="20"/>
              </w:rPr>
              <w:t xml:space="preserve">Any neutral</w:t>
            </w:r>
          </w:p>
        </w:tc>
        <w:tc>
          <w:tcPr>
            <w:tcW w:type="dxa" w:w="32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Print, embossing, engraving.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Color Palette</w:t>
      </w:r>
    </w:p>
    <w:p>
      <w:pPr>
        <w:spacing w:after="200"/>
      </w:pPr>
      <w:r>
        <w:t xml:space="preserve">The palette balances warm darkness with metallic accents. Every color has Aztec or Art Deco associations — obsidian stone, aged copper, temple burgundy, parchment manuscripts.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Obsidian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#0D0A0A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background. Deep black with warm undertone.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Charcoal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#1C1616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Card backgrounds, secondary surfaces, hexagonal fills.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Burgundy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#8B2D3A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accent. CTAs, hover states, active elements.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Burgundy Deep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#5C1D28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Premium backgrounds, wallet card gradient base.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Copper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#C87941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Secondary accent. Logomark, icons, borders, highlights.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Copper Light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#E09A62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 values, positive amounts, emphasis text.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Copper Muted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#A06835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Section labels, eyebrow text, subtle accents.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Parchment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#E8D8CC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text on dark. Warm white, never pure white.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Muted Text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#8A7A70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Body text, descriptions, secondary content.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#5A4E48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Tertiary text, tags, subtle labels.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Ember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#2A2222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Borders, dividers, subtle structural lines.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Warm Border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#3A2E2E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Art Deco corner frames, secondary borders.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Light BG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#F2EBE4</w:t>
            </w:r>
          </w:p>
        </w:tc>
        <w:tc>
          <w:tcPr>
            <w:tcW w:type="dxa" w:w="5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 mode surface, parchment background.</w:t>
            </w:r>
          </w:p>
        </w:tc>
      </w:tr>
    </w:tbl>
    <w:p>
      <w:pPr>
        <w:spacing w:before="300" w:after="200"/>
      </w:pPr>
      <w:r>
        <w:rPr>
          <w:b/>
          <w:bCs/>
          <w:color w:val="C87941"/>
          <w:sz w:val="24"/>
          <w:szCs w:val="24"/>
        </w:rPr>
        <w:t xml:space="preserve">Color Rules</w:t>
      </w:r>
    </w:p>
    <w:p>
      <w:pPr>
        <w:spacing w:after="100"/>
      </w:pPr>
      <w:r>
        <w:t xml:space="preserve">Never use pure white (#FFFFFF). The warmest text color is Parchment (#E8D8CC). Burgundy is used for CTAs and interactive elements; copper for informational accents and icons. The burgundy-to-copper gradient should only appear as thin decorative lines at the top of feature cards, never as large background fills.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Typography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Display: Poiret One</w:t>
      </w:r>
    </w:p>
    <w:p>
      <w:pPr>
        <w:spacing w:after="120"/>
      </w:pPr>
      <w:r>
        <w:t xml:space="preserve">The primary display typeface. A geometric Art Deco face with distinctive circular constructions. Used for brand name, section titles, hero headings, and stat values. Always uppercase with generous letter-spacing (10–16px). Light weight only.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Headings: Tenor Sans</w:t>
      </w:r>
    </w:p>
    <w:p>
      <w:pPr>
        <w:spacing w:after="120"/>
      </w:pPr>
      <w:r>
        <w:t xml:space="preserve">Secondary headings and feature titles. A classic serif-inspired sans with humanist proportions. Used at regular weight with subtle letter-spacing (1–3px). Also used for italic taglines and Latin etymology references.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System / Technical: IBM Plex Mono</w:t>
      </w:r>
    </w:p>
    <w:p>
      <w:pPr>
        <w:spacing w:after="120"/>
      </w:pPr>
      <w:r>
        <w:t xml:space="preserve">All labels, eyebrows, tags, addresses, navigation links, and UI micro-copy. Sizes 8–12px with 2–6px letter-spacing. Uppercase. Weights 300–500. The monospace rhythm reinforces the geometric precision of the brand.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Body: Outfit</w:t>
      </w:r>
    </w:p>
    <w:p>
      <w:pPr>
        <w:spacing w:after="120"/>
      </w:pPr>
      <w:r>
        <w:t xml:space="preserve">Body text, descriptions, and longer-form content. A geometric sans-serif with excellent readability. Weights 200–500. Used at 13–16px with 1.6–1.8 line-height. The geometric construction complements Poiret One.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Digital Assets &amp; Motion</w:t>
      </w:r>
    </w:p>
    <w:p>
      <w:pPr>
        <w:spacing w:after="200"/>
      </w:pPr>
      <w:r>
        <w:rPr>
          <w:b/>
          <w:bCs/>
          <w:color w:val="C87941"/>
          <w:sz w:val="24"/>
          <w:szCs w:val="24"/>
        </w:rPr>
        <w:t xml:space="preserve">Social &amp; Web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80"/>
        <w:gridCol w:w="3380"/>
      </w:tblGrid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Asset</w:t>
            </w:r>
          </w:p>
        </w:tc>
        <w:tc>
          <w:tcPr>
            <w:tcW w:type="dxa" w:w="2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C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87941"/>
                <w:sz w:val="20"/>
                <w:szCs w:val="20"/>
              </w:rPr>
              <w:t xml:space="preserve">Variants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OpenGraph Image</w:t>
            </w:r>
          </w:p>
        </w:tc>
        <w:tc>
          <w:tcPr>
            <w:tcW w:type="dxa" w:w="2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1200 × 630</w:t>
            </w:r>
          </w:p>
        </w:tc>
        <w:tc>
          <w:tcPr>
            <w:tcW w:type="dxa" w:w="3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Dark, Burgundy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Twitter/X Card</w:t>
            </w:r>
          </w:p>
        </w:tc>
        <w:tc>
          <w:tcPr>
            <w:tcW w:type="dxa" w:w="2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1200 × 675</w:t>
            </w:r>
          </w:p>
        </w:tc>
        <w:tc>
          <w:tcPr>
            <w:tcW w:type="dxa" w:w="3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Split layout (mark + copy)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Favicons</w:t>
            </w:r>
          </w:p>
        </w:tc>
        <w:tc>
          <w:tcPr>
            <w:tcW w:type="dxa" w:w="2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16, 32, 64px</w:t>
            </w:r>
          </w:p>
        </w:tc>
        <w:tc>
          <w:tcPr>
            <w:tcW w:type="dxa" w:w="3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Dark, Burgundy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Profile Avatars</w:t>
            </w:r>
          </w:p>
        </w:tc>
        <w:tc>
          <w:tcPr>
            <w:tcW w:type="dxa" w:w="2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400 × 400</w:t>
            </w:r>
          </w:p>
        </w:tc>
        <w:tc>
          <w:tcPr>
            <w:tcW w:type="dxa" w:w="3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Dark, Burgundy</w:t>
            </w:r>
          </w:p>
        </w:tc>
      </w:tr>
      <w:tr>
        <w:tc>
          <w:tcPr>
            <w:tcW w:type="dxa" w:w="3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Icon</w:t>
            </w:r>
          </w:p>
        </w:tc>
        <w:tc>
          <w:tcPr>
            <w:tcW w:type="dxa" w:w="2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A7A70"/>
                <w:sz w:val="20"/>
                <w:szCs w:val="20"/>
              </w:rPr>
              <w:t xml:space="preserve">128, 64, 32px</w:t>
            </w:r>
          </w:p>
        </w:tc>
        <w:tc>
          <w:tcPr>
            <w:tcW w:type="dxa" w:w="338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Dark, Burgundy</w:t>
            </w:r>
          </w:p>
        </w:tc>
      </w:tr>
    </w:tbl>
    <w:p>
      <w:pPr>
        <w:spacing w:before="300" w:after="200"/>
      </w:pPr>
      <w:r>
        <w:rPr>
          <w:b/>
          <w:bCs/>
          <w:color w:val="C87941"/>
          <w:sz w:val="24"/>
          <w:szCs w:val="24"/>
        </w:rPr>
        <w:t xml:space="preserve">Geometric UI Elements</w:t>
      </w:r>
    </w:p>
    <w:p>
      <w:pPr>
        <w:spacing w:after="100"/>
      </w:pPr>
      <w:r>
        <w:t xml:space="preserve">Art Deco Corner Frames: 20–40px L-shaped borders at card corners. 1px solid, warm-border color. Opacity 0.3–0.5 default, 0.6–0.8 on hover.</w:t>
      </w:r>
    </w:p>
    <w:p>
      <w:pPr>
        <w:spacing w:after="100"/>
      </w:pPr>
      <w:r>
        <w:t xml:space="preserve">Diamond Separators: 4–6px rotated squares in copper. Flanked by thin lines. Used between sections and brand elements.</w:t>
      </w:r>
    </w:p>
    <w:p>
      <w:pPr>
        <w:spacing w:after="100"/>
      </w:pPr>
      <w:r>
        <w:t xml:space="preserve">Diamond-Rotated Containers: Icon containers, action buttons, and avatars use 45° rotated square borders, with inner content counter-rotated. This is a core geometric motif.</w:t>
      </w:r>
    </w:p>
    <w:p>
      <w:pPr>
        <w:spacing w:after="100"/>
      </w:pPr>
      <w:r>
        <w:t xml:space="preserve">Stepped Bars: Vertical bar groups with graduated heights (Art Deco sunburst pattern). Used as section dividers and side decorations. Copper at very low opacity (0.06–0.15).</w:t>
      </w:r>
    </w:p>
    <w:p>
      <w:pPr>
        <w:spacing w:before="300" w:after="200"/>
      </w:pPr>
      <w:r>
        <w:rPr>
          <w:b/>
          <w:bCs/>
          <w:color w:val="C87941"/>
          <w:sz w:val="24"/>
          <w:szCs w:val="24"/>
        </w:rPr>
        <w:t xml:space="preserve">Motion Principles</w:t>
      </w:r>
    </w:p>
    <w:p>
      <w:pPr>
        <w:spacing w:after="100"/>
      </w:pPr>
      <w:r>
        <w:t xml:space="preserve">Primary easing: cubic-bezier(0.22, 1, 0.36, 1). Hover transitions 300–400ms. Entrance animations 700–900ms with staggered delays (0.08–0.15s increments).</w:t>
      </w:r>
    </w:p>
    <w:p>
      <w:pPr>
        <w:spacing w:after="100"/>
      </w:pPr>
      <w:r>
        <w:t xml:space="preserve">The hero logomark has a slow-rotating outer hexagonal ring (60s linear infinite) — suggesting a mechanical vault lock. The deploying screen features a spinning hexagonal spinner with a pulsing center dot.</w:t>
      </w:r>
    </w:p>
    <w:p>
      <w:pPr>
        <w:spacing w:after="100"/>
      </w:pPr>
      <w:r>
        <w:t xml:space="preserve">Scroll-triggered reveals use IntersectionObserver. Elements fade up (24px translateY) with staggered timing. Feature cards lift on hover with subtle box shadows.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Brand Inquiries</w:t>
      </w:r>
    </w:p>
    <w:p>
      <w:pPr>
        <w:spacing w:after="200"/>
      </w:pPr>
      <w:r>
        <w:t xml:space="preserve">For questions about brand usage, asset requests, or partnership inquiries, contact the Celari design team.</w:t>
      </w:r>
    </w:p>
    <w:p>
      <w:pPr>
        <w:spacing w:after="100"/>
      </w:pPr>
      <w:r>
        <w:rPr>
          <w:i/>
          <w:iCs/>
          <w:color w:val="C87941"/>
        </w:rPr>
        <w:t xml:space="preserve">brand@celari.io</w:t>
      </w:r>
    </w:p>
    <w:p>
      <w:pPr>
        <w:spacing w:before="600"/>
        <w:jc w:val="center"/>
      </w:pPr>
      <w:r>
        <w:rPr>
          <w:color w:val="C87941"/>
          <w:sz w:val="20"/>
          <w:szCs w:val="20"/>
        </w:rPr>
        <w:t xml:space="preserve">◇</w:t>
      </w:r>
    </w:p>
    <w:p>
      <w:pPr>
        <w:spacing w:before="200"/>
        <w:jc w:val="center"/>
      </w:pPr>
      <w:r>
        <w:rPr>
          <w:color w:val="8A7A70"/>
          <w:sz w:val="28"/>
          <w:szCs w:val="28"/>
        </w:rPr>
        <w:t xml:space="preserve">C E L A R I</w:t>
      </w:r>
    </w:p>
    <w:p>
      <w:pPr>
        <w:spacing w:before="100"/>
        <w:jc w:val="center"/>
      </w:pPr>
      <w:r>
        <w:rPr>
          <w:i/>
          <w:iCs/>
          <w:color w:val="BCA898"/>
          <w:sz w:val="20"/>
          <w:szCs w:val="20"/>
        </w:rPr>
        <w:t xml:space="preserve">celāre — to hide, to conceal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Georgia" w:cs="Georgia" w:eastAsia="Georgia" w:hAnsi="Georgia"/>
      <w:b w:val="false"/>
      <w:bCs w:val="false"/>
      <w:color w:val="8B2D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Georgia" w:cs="Georgia" w:eastAsia="Georgia" w:hAnsi="Georgia"/>
      <w:b w:val="false"/>
      <w:bCs w:val="false"/>
      <w:color w:val="5C1D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2026-02-16T20:26:53.229Z</dcterms:created>
  <dcterms:modified xsi:type="dcterms:W3CDTF">2026-02-16T20:26:53.230Z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