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color w:val="17365D"/>
          <w:sz w:val="44"/>
        </w:rPr>
        <w:t>SUMMARY REPORT</w:t>
      </w:r>
    </w:p>
    <w:p>
      <w:pPr>
        <w:spacing w:after="100"/>
      </w:pPr>
      <w:r>
        <w:rPr>
          <w:b/>
          <w:color w:val="2E74B5"/>
          <w:sz w:val="22"/>
        </w:rPr>
        <w:t>Predicción del retraso de llegada una hora antes de la salida</w:t>
      </w:r>
      <w:r>
        <w:rPr>
          <w:color w:val="667085"/>
          <w:sz w:val="17"/>
        </w:rPr>
        <w:t xml:space="preserve">  |  Estado a 13 de agosto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3487"/>
        <w:gridCol w:w="3487"/>
        <w:gridCol w:w="3487"/>
      </w:tblGrid>
      <w:tr>
        <w:tc>
          <w:tcPr>
            <w:tcW w:type="dxa" w:w="3666"/>
            <w:shd w:fill="DCE6F1"/>
            <w:tcMar>
              <w:top w:w="8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17365D"/>
                <w:sz w:val="14"/>
              </w:rPr>
              <w:t>RMSE GLOBAL</w:t>
            </w:r>
          </w:p>
          <w:p>
            <w:pPr>
              <w:spacing w:after="0"/>
              <w:jc w:val="center"/>
            </w:pPr>
            <w:r>
              <w:rPr>
                <w:b/>
                <w:color w:val="17365D"/>
                <w:sz w:val="24"/>
              </w:rPr>
              <w:t>15,83 → 14,80 min</w:t>
            </w:r>
          </w:p>
          <w:p>
            <w:pPr>
              <w:spacing w:after="0"/>
              <w:jc w:val="center"/>
            </w:pPr>
            <w:r>
              <w:rPr>
                <w:color w:val="667085"/>
                <w:sz w:val="14"/>
              </w:rPr>
              <w:t>−6,5% frente al baseline</w:t>
            </w:r>
          </w:p>
        </w:tc>
        <w:tc>
          <w:tcPr>
            <w:tcW w:type="dxa" w:w="3666"/>
            <w:shd w:fill="DCE6F1"/>
            <w:tcMar>
              <w:top w:w="8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17365D"/>
                <w:sz w:val="14"/>
              </w:rPr>
              <w:t>MAE VUELOS &gt;15 MIN</w:t>
            </w:r>
          </w:p>
          <w:p>
            <w:pPr>
              <w:spacing w:after="0"/>
              <w:jc w:val="center"/>
            </w:pPr>
            <w:r>
              <w:rPr>
                <w:b/>
                <w:color w:val="17365D"/>
                <w:sz w:val="24"/>
              </w:rPr>
              <w:t>22,68 → 18,21 min</w:t>
            </w:r>
          </w:p>
          <w:p>
            <w:pPr>
              <w:spacing w:after="0"/>
              <w:jc w:val="center"/>
            </w:pPr>
            <w:r>
              <w:rPr>
                <w:color w:val="667085"/>
                <w:sz w:val="14"/>
              </w:rPr>
              <w:t>−19,7% frente al baseline</w:t>
            </w:r>
          </w:p>
        </w:tc>
        <w:tc>
          <w:tcPr>
            <w:tcW w:type="dxa" w:w="3666"/>
            <w:shd w:fill="DDF2EA"/>
            <w:tcMar>
              <w:top w:w="8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1B7F5A"/>
                <w:sz w:val="14"/>
              </w:rPr>
              <w:t>CRITERIO COMBINADO</w:t>
            </w:r>
          </w:p>
          <w:p>
            <w:pPr>
              <w:spacing w:after="0"/>
              <w:jc w:val="center"/>
            </w:pPr>
            <w:r>
              <w:rPr>
                <w:b/>
                <w:color w:val="17365D"/>
                <w:sz w:val="24"/>
              </w:rPr>
              <w:t>14,07 min</w:t>
            </w:r>
          </w:p>
          <w:p>
            <w:pPr>
              <w:spacing w:after="0"/>
              <w:jc w:val="center"/>
            </w:pPr>
            <w:r>
              <w:rPr>
                <w:color w:val="667085"/>
                <w:sz w:val="14"/>
              </w:rPr>
              <w:t>Ridge: mejor equilibrio</w:t>
            </w:r>
          </w:p>
        </w:tc>
      </w:tr>
    </w:tbl>
    <w:p>
      <w:pPr>
        <w:sectPr>
          <w:footerReference w:type="default" r:id="rId9"/>
          <w:pgSz w:w="11905" w:h="16838"/>
          <w:pgMar w:top="369" w:right="454" w:bottom="369" w:left="454" w:header="142" w:footer="159" w:gutter="0"/>
          <w:cols w:space="720"/>
          <w:docGrid w:linePitch="360"/>
        </w:sectPr>
      </w:pPr>
    </w:p>
    <w:p>
      <w:pPr>
        <w:pStyle w:val="SummaryHeading"/>
        <w:keepNext/>
      </w:pPr>
      <w:r>
        <w:t>Mayores aportaciones</w:t>
      </w:r>
    </w:p>
    <w:p>
      <w:pPr>
        <w:pStyle w:val="SummaryBullet"/>
        <w:keepLines/>
      </w:pPr>
      <w:r>
        <w:t>Horizonte operativo T−60: solo usa información disponible una hora antes; la auditoría detectó cero eventos futuros.</w:t>
      </w:r>
    </w:p>
    <w:p>
      <w:pPr>
        <w:pStyle w:val="SummaryBullet"/>
        <w:keepLines/>
      </w:pPr>
      <w:r>
        <w:t>Variables operativas: actividad y retraso observado por origen, destino, ruta y operador en ventanas de 1 y 24 horas; se descartó 6 h tras la ablación.</w:t>
      </w:r>
    </w:p>
    <w:p>
      <w:pPr>
        <w:pStyle w:val="SummaryBullet"/>
        <w:keepLines/>
      </w:pPr>
      <w:r>
        <w:t>Rotación de aeronave: retraso del vuelo anterior, tiempo desde su llegada y disponibilidad del avión.</w:t>
      </w:r>
    </w:p>
    <w:p>
      <w:pPr>
        <w:pStyle w:val="SummaryBullet"/>
        <w:keepLines/>
      </w:pPr>
      <w:r>
        <w:t>Calendario y vuelo: duración programada, hora/día cíclicos, mes y nivel de vuelo solicitado.</w:t>
      </w:r>
    </w:p>
    <w:p>
      <w:pPr>
        <w:pStyle w:val="SummaryBullet"/>
        <w:keepLines/>
      </w:pPr>
      <w:r>
        <w:t>Categorías: one-hot solo para baja cardinalidad; AC Type raro → OTHER y hashing para aeronave, aeropuertos y operador.</w:t>
      </w:r>
    </w:p>
    <w:p>
      <w:pPr>
        <w:pStyle w:val="SummaryHeading"/>
        <w:keepNext/>
      </w:pPr>
      <w:r>
        <w:t>Modelos probados</w:t>
      </w:r>
    </w:p>
    <w:p>
      <w:pPr>
        <w:pStyle w:val="SummaryBullet"/>
        <w:keepLines/>
      </w:pPr>
      <w:r>
        <w:t>Baselines: mediana global, ruta y ruta+aerolínea con fallbacks.</w:t>
      </w:r>
    </w:p>
    <w:p>
      <w:pPr>
        <w:pStyle w:val="SummaryBullet"/>
        <w:keepLines/>
      </w:pPr>
      <w:r>
        <w:t>Ridge con variables sin transformar, log y Yeo–Johnson.</w:t>
      </w:r>
    </w:p>
    <w:p>
      <w:pPr>
        <w:pStyle w:val="SummaryBullet"/>
        <w:keepLines/>
      </w:pPr>
      <w:r>
        <w:t>Random Forest, Gradient-Boosted Trees, XGBoost y CatBoost.</w:t>
      </w:r>
    </w:p>
    <w:p>
      <w:pPr>
        <w:pStyle w:val="SummaryBullet"/>
        <w:keepLines/>
      </w:pPr>
      <w:r>
        <w:t>Ensemble Ridge + CatBoost con variables operativas T−60.</w:t>
      </w:r>
    </w:p>
    <w:p>
      <w:pPr>
        <w:pStyle w:val="SummaryHeading"/>
        <w:keepNext/>
      </w:pPr>
      <w:r>
        <w:t>Ridge frente al baseline histórico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1"/>
        <w:gridCol w:w="765"/>
        <w:gridCol w:w="709"/>
        <w:gridCol w:w="709"/>
      </w:tblGrid>
      <w:tr>
        <w:trPr>
          <w:tblHeader w:val="true"/>
        </w:trPr>
        <w:tc>
          <w:tcPr>
            <w:tcW w:type="dxa" w:w="2749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Métrica (min)</w:t>
            </w:r>
          </w:p>
        </w:tc>
        <w:tc>
          <w:tcPr>
            <w:tcW w:type="dxa" w:w="2749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Baseline</w:t>
            </w:r>
          </w:p>
        </w:tc>
        <w:tc>
          <w:tcPr>
            <w:tcW w:type="dxa" w:w="2749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Ridge</w:t>
            </w:r>
          </w:p>
        </w:tc>
        <w:tc>
          <w:tcPr>
            <w:tcW w:type="dxa" w:w="2749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Mejora</w:t>
            </w:r>
          </w:p>
        </w:tc>
      </w:tr>
      <w:tr>
        <w:tc>
          <w:tcPr>
            <w:tcW w:type="dxa" w:w="1531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left"/>
            </w:pPr>
            <w:r>
              <w:rPr>
                <w:sz w:val="14"/>
              </w:rPr>
              <w:t>Global MAE</w:t>
            </w:r>
          </w:p>
        </w:tc>
        <w:tc>
          <w:tcPr>
            <w:tcW w:type="dxa" w:w="765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10,45</w:t>
            </w:r>
          </w:p>
        </w:tc>
        <w:tc>
          <w:tcPr>
            <w:tcW w:type="dxa" w:w="709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9,94</w:t>
            </w:r>
          </w:p>
        </w:tc>
        <w:tc>
          <w:tcPr>
            <w:tcW w:type="dxa" w:w="709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B7F5A"/>
                <w:sz w:val="14"/>
              </w:rPr>
              <w:t>−4,8%</w:t>
            </w:r>
          </w:p>
        </w:tc>
      </w:tr>
      <w:tr>
        <w:tc>
          <w:tcPr>
            <w:tcW w:type="dxa" w:w="1531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left"/>
            </w:pPr>
            <w:r>
              <w:rPr>
                <w:sz w:val="14"/>
              </w:rPr>
              <w:t>Global RMSE</w:t>
            </w:r>
          </w:p>
        </w:tc>
        <w:tc>
          <w:tcPr>
            <w:tcW w:type="dxa" w:w="765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15,83</w:t>
            </w:r>
          </w:p>
        </w:tc>
        <w:tc>
          <w:tcPr>
            <w:tcW w:type="dxa" w:w="709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14,80</w:t>
            </w:r>
          </w:p>
        </w:tc>
        <w:tc>
          <w:tcPr>
            <w:tcW w:type="dxa" w:w="709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B7F5A"/>
                <w:sz w:val="14"/>
              </w:rPr>
              <w:t>−6,5%</w:t>
            </w:r>
          </w:p>
        </w:tc>
      </w:tr>
      <w:tr>
        <w:tc>
          <w:tcPr>
            <w:tcW w:type="dxa" w:w="1531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left"/>
            </w:pPr>
            <w:r>
              <w:rPr>
                <w:sz w:val="14"/>
              </w:rPr>
              <w:t>MAE &gt;15 min</w:t>
            </w:r>
          </w:p>
        </w:tc>
        <w:tc>
          <w:tcPr>
            <w:tcW w:type="dxa" w:w="765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22,68</w:t>
            </w:r>
          </w:p>
        </w:tc>
        <w:tc>
          <w:tcPr>
            <w:tcW w:type="dxa" w:w="709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18,21</w:t>
            </w:r>
          </w:p>
        </w:tc>
        <w:tc>
          <w:tcPr>
            <w:tcW w:type="dxa" w:w="709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B7F5A"/>
                <w:sz w:val="14"/>
              </w:rPr>
              <w:t>−19,7%</w:t>
            </w:r>
          </w:p>
        </w:tc>
      </w:tr>
      <w:tr>
        <w:tc>
          <w:tcPr>
            <w:tcW w:type="dxa" w:w="1531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left"/>
            </w:pPr>
            <w:r>
              <w:rPr>
                <w:sz w:val="14"/>
              </w:rPr>
              <w:t>RMSE &gt;15 min</w:t>
            </w:r>
          </w:p>
        </w:tc>
        <w:tc>
          <w:tcPr>
            <w:tcW w:type="dxa" w:w="765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29,77</w:t>
            </w:r>
          </w:p>
        </w:tc>
        <w:tc>
          <w:tcPr>
            <w:tcW w:type="dxa" w:w="709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4"/>
              </w:rPr>
              <w:t>25,88</w:t>
            </w:r>
          </w:p>
        </w:tc>
        <w:tc>
          <w:tcPr>
            <w:tcW w:type="dxa" w:w="709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B7F5A"/>
                <w:sz w:val="14"/>
              </w:rPr>
              <w:t>−13,1%</w:t>
            </w:r>
          </w:p>
        </w:tc>
      </w:tr>
    </w:tbl>
    <w:p>
      <w:pPr>
        <w:pStyle w:val="SummaryBody"/>
        <w:spacing w:before="40"/>
      </w:pPr>
      <w:r>
        <w:rPr>
          <w:b/>
        </w:rPr>
        <w:t xml:space="preserve">Comparación homogénea: </w:t>
      </w:r>
      <w:r>
        <w:t>ambos ajustados con el mismo 10% determinista de train y evaluados en las mismas 29.315 filas.</w:t>
      </w:r>
    </w:p>
    <w:p>
      <w:pPr>
        <w:spacing w:after="0"/>
      </w:pPr>
      <w:r>
        <w:br w:type="column"/>
      </w:r>
    </w:p>
    <w:p>
      <w:pPr>
        <w:pStyle w:val="SummaryHeading"/>
        <w:keepNext/>
      </w:pPr>
      <w:r>
        <w:t>¿Por qué Ridge es la mejor elección actual?</w:t>
      </w:r>
    </w:p>
    <w:p>
      <w:pPr>
        <w:pStyle w:val="SummaryBullet"/>
        <w:keepLines/>
      </w:pPr>
      <w:r>
        <w:t>Mejor criterio combinado: MAE global y MAE de vuelos con más de 15 min pesan al 50%; Ridge obtiene 14,07 min.</w:t>
      </w:r>
    </w:p>
    <w:p>
      <w:pPr>
        <w:pStyle w:val="SummaryBullet"/>
        <w:keepLines/>
      </w:pPr>
      <w:r>
        <w:t>CatBoost gana ligeramente en promedio global (MAE 9,54; RMSE 14,67), pero Ridge predice mejor los retrasos elevados (MAE 18,21 frente a 19,63).</w:t>
      </w:r>
    </w:p>
    <w:p>
      <w:pPr>
        <w:pStyle w:val="SummaryBullet"/>
        <w:keepLines/>
      </w:pPr>
      <w:r>
        <w:t>Es estable, regularizado y eficiente con matrices dispersas y hashing: una ventaja decisiva con la RAM disponible.</w:t>
      </w:r>
    </w:p>
    <w:p>
      <w:pPr>
        <w:pStyle w:val="SummaryBullet"/>
        <w:keepLines/>
      </w:pPr>
      <w:r>
        <w:t>Su lectura es clara: las señales operativas recientes y la rotación aportan más que aumentar por sí sola la complejidad del algoritmo.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DCE6F1"/>
          <w:left w:val="single" w:sz="0" w:color="DCE6F1"/>
          <w:bottom w:val="single" w:sz="0" w:color="DCE6F1"/>
          <w:right w:val="single" w:sz="0" w:color="DCE6F1"/>
          <w:insideH w:val="single" w:sz="0" w:color="DCE6F1"/>
          <w:insideV w:val="single" w:sz="0" w:color="DCE6F1"/>
        </w:tblBorders>
      </w:tblPr>
      <w:tblGrid>
        <w:gridCol w:w="10997"/>
      </w:tblGrid>
      <w:tr>
        <w:tc>
          <w:tcPr>
            <w:tcW w:type="dxa" w:w="10997"/>
            <w:shd w:fill="DCE6F1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20"/>
            </w:pPr>
            <w:r>
              <w:rPr>
                <w:b/>
                <w:color w:val="17365D"/>
                <w:sz w:val="16"/>
              </w:rPr>
              <w:t>Interpretación ejecutiva</w:t>
            </w:r>
          </w:p>
          <w:p>
            <w:pPr>
              <w:pStyle w:val="SummaryBody"/>
              <w:spacing w:after="0"/>
            </w:pPr>
            <w:r>
              <w:t>El modelo reduce el RMSE global en 1,03 minutos (6,5%) y el MAE de retrasos elevados en 4,47 minutos (19,7%). El mayor valor está en detectar mejor los casos operativamente difíciles.</w:t>
            </w:r>
          </w:p>
        </w:tc>
      </w:tr>
    </w:tbl>
    <w:p>
      <w:pPr>
        <w:pStyle w:val="SummaryHeading"/>
        <w:keepNext/>
      </w:pPr>
      <w:r>
        <w:t>Siguientes pasos</w:t>
      </w:r>
    </w:p>
    <w:p>
      <w:pPr>
        <w:pStyle w:val="SummaryBody"/>
        <w:ind w:left="283" w:hanging="283"/>
        <w:keepLines/>
      </w:pPr>
      <w:r>
        <w:rPr>
          <w:b/>
          <w:color w:val="2E74B5"/>
        </w:rPr>
        <w:t xml:space="preserve">1. </w:t>
      </w:r>
      <w:r>
        <w:t>Escala 25% ya preparada con Ridge congelado; ejecutar al disponer de 4–5 GB de RAM y comparar contra el 10% sin retocar validación.</w:t>
      </w:r>
    </w:p>
    <w:p>
      <w:pPr>
        <w:pStyle w:val="SummaryBody"/>
        <w:ind w:left="283" w:hanging="283"/>
        <w:keepLines/>
      </w:pPr>
      <w:r>
        <w:rPr>
          <w:b/>
          <w:color w:val="2E74B5"/>
        </w:rPr>
        <w:t xml:space="preserve">2. </w:t>
      </w:r>
      <w:r>
        <w:t>Continuar a 50%/100% solo si el 25% reduce al menos 0,20 min el MAE combinado sin degradar el MAE global más de 0,25 min.</w:t>
      </w:r>
    </w:p>
    <w:p>
      <w:pPr>
        <w:pStyle w:val="SummaryBody"/>
        <w:ind w:left="283" w:hanging="283"/>
        <w:keepLines/>
      </w:pPr>
      <w:r>
        <w:rPr>
          <w:b/>
          <w:color w:val="2E74B5"/>
        </w:rPr>
        <w:t xml:space="preserve">3. </w:t>
      </w:r>
      <w:r>
        <w:t>Validar estabilidad por mes, aeropuerto, ruta y nivel de retraso; mantener marzo de 2023 como prueba final intacta.</w:t>
      </w:r>
    </w:p>
    <w:p>
      <w:pPr>
        <w:pStyle w:val="SummaryBody"/>
        <w:ind w:left="283" w:hanging="283"/>
        <w:keepLines/>
      </w:pPr>
      <w:r>
        <w:rPr>
          <w:b/>
          <w:color w:val="2E74B5"/>
        </w:rPr>
        <w:t xml:space="preserve">4. </w:t>
      </w:r>
      <w:r>
        <w:t>Ampliar meses/años antes de añadir meteorología; aporta mejor cobertura de estacionalidad y eventos poco frecuentes.</w:t>
      </w:r>
    </w:p>
    <w:p>
      <w:pPr>
        <w:pStyle w:val="SummaryBody"/>
        <w:ind w:left="283" w:hanging="283"/>
        <w:keepLines/>
      </w:pPr>
      <w:r>
        <w:rPr>
          <w:b/>
          <w:color w:val="2E74B5"/>
        </w:rPr>
        <w:t xml:space="preserve">5. </w:t>
      </w:r>
      <w:r>
        <w:t>Después, evaluar meteorología, modelo en dos etapas (retrasado/no retrasado + minutos) y LightGBM/SynapseML como trabajo futuro.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FFF3D6"/>
          <w:left w:val="single" w:sz="0" w:color="FFF3D6"/>
          <w:bottom w:val="single" w:sz="0" w:color="FFF3D6"/>
          <w:right w:val="single" w:sz="0" w:color="FFF3D6"/>
          <w:insideH w:val="single" w:sz="0" w:color="FFF3D6"/>
          <w:insideV w:val="single" w:sz="0" w:color="FFF3D6"/>
        </w:tblBorders>
      </w:tblPr>
      <w:tblGrid>
        <w:gridCol w:w="10997"/>
      </w:tblGrid>
      <w:tr>
        <w:tc>
          <w:tcPr>
            <w:tcW w:type="dxa" w:w="10997"/>
            <w:shd w:fill="FFF3D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20"/>
            </w:pPr>
            <w:r>
              <w:rPr>
                <w:b/>
                <w:color w:val="17365D"/>
                <w:sz w:val="16"/>
              </w:rPr>
              <w:t>Decisión de escalado pendiente</w:t>
            </w:r>
          </w:p>
          <w:p>
            <w:pPr>
              <w:pStyle w:val="SummaryBody"/>
              <w:spacing w:after="0"/>
            </w:pPr>
            <w:r>
              <w:t>El runner del 25% y sus artefactos separados están listos. La ejecución se ha detenido de forma segura porque Windows solo deja 1,37 GB libres; no se modifica ningún resultado del 10%.</w:t>
            </w:r>
          </w:p>
        </w:tc>
      </w:tr>
    </w:tbl>
    <w:sectPr w:rsidR="00FC693F" w:rsidRPr="0006063C" w:rsidSect="00034616">
      <w:type w:val="continuous"/>
      <w:pgSz w:w="11905" w:h="16838"/>
      <w:pgMar w:top="369" w:right="454" w:bottom="369" w:left="454" w:header="142" w:footer="159" w:gutter="0"/>
      <w:cols w:space="42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667085"/>
        <w:sz w:val="14"/>
      </w:rPr>
      <w:t>Validación temporal: diciembre de 2022 · 29.315 vuelos · test de marzo de 2023 intacto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2431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maryHeading">
    <w:name w:val="Summary Heading"/>
    <w:pPr>
      <w:spacing w:before="120" w:after="60"/>
    </w:pPr>
    <w:rPr>
      <w:rFonts w:ascii="Calibri" w:hAnsi="Calibri"/>
      <w:b/>
      <w:color w:val="2E74B5"/>
      <w:sz w:val="22"/>
    </w:rPr>
  </w:style>
  <w:style w:type="paragraph" w:customStyle="1" w:styleId="SummaryBody">
    <w:name w:val="Summary Body"/>
    <w:pPr>
      <w:spacing w:after="50" w:line="245" w:lineRule="auto"/>
    </w:pPr>
    <w:rPr>
      <w:rFonts w:ascii="Calibri" w:hAnsi="Calibri"/>
      <w:color w:val="243142"/>
      <w:sz w:val="17"/>
    </w:rPr>
  </w:style>
  <w:style w:type="paragraph" w:customStyle="1" w:styleId="SummaryBullet">
    <w:name w:val="Summary Bullet"/>
    <w:pPr>
      <w:spacing w:after="44" w:line="240" w:lineRule="auto"/>
      <w:ind w:left="238" w:hanging="159"/>
      <w:contextualSpacing/>
    </w:pPr>
    <w:rPr>
      <w:rFonts w:ascii="Calibri" w:hAnsi="Calibri"/>
      <w:color w:val="24314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Report — Predicción de retraso de llegada T−60</dc:title>
  <dc:subject>Aportaciones, resultados y siguientes pasos</dc:subject>
  <dc:creator>Proyecto ML Flights</dc:creator>
  <cp:keywords>flight delay, Ridge, CatBoost, T-60, MAE, RMSE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