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jc w:val="center"/>
      </w:pPr>
      <w:r>
        <w:rPr>
          <w:rFonts w:ascii="Calibri" w:hAnsi="Calibri"/>
          <w:b/>
          <w:i w:val="0"/>
          <w:color w:val="1F4E78"/>
          <w:sz w:val="56"/>
        </w:rPr>
        <w:t>EUROPEAN SCHEDULED</w:t>
        <w:br/>
        <w:t>AVIATION PERFORMANCE</w:t>
      </w:r>
    </w:p>
    <w:p>
      <w:pPr>
        <w:spacing w:after="480"/>
        <w:jc w:val="center"/>
      </w:pPr>
      <w:r>
        <w:rPr>
          <w:rFonts w:ascii="Calibri" w:hAnsi="Calibri"/>
          <w:b w:val="0"/>
          <w:i w:val="0"/>
          <w:color w:val="5B9BD5"/>
          <w:sz w:val="30"/>
        </w:rPr>
        <w:t>Demand, punctuality, airport pressure and operational recovery</w:t>
      </w:r>
    </w:p>
    <w:p>
      <w:pPr>
        <w:spacing w:after="720"/>
        <w:jc w:val="center"/>
      </w:pPr>
      <w:r>
        <w:rPr>
          <w:rFonts w:ascii="Calibri" w:hAnsi="Calibri"/>
          <w:b w:val="0"/>
          <w:i/>
          <w:color w:val="667085"/>
          <w:sz w:val="22"/>
        </w:rPr>
        <w:t>Nine observed monthly periods | June 2021 to June 2023</w:t>
      </w:r>
    </w:p>
    <w:tbl>
      <w:tblPr>
        <w:tblW w:type="dxa" w:w="10205"/>
        <w:jc w:val="left"/>
        <w:tblLayout w:type="fixed"/>
        <w:tblLook w:firstColumn="1" w:firstRow="1" w:lastColumn="0" w:lastRow="0" w:noHBand="0" w:noVBand="1" w:val="04A0"/>
        <w:tblInd w:w="120" w:type="dxa"/>
      </w:tblPr>
      <w:tblGrid>
        <w:gridCol w:w="3402"/>
        <w:gridCol w:w="3402"/>
        <w:gridCol w:w="3401"/>
      </w:tblGrid>
      <w:tr>
        <w:tc>
          <w:tcPr>
            <w:tcW w:type="dxa" w:w="3402"/>
            <w:tcMar>
              <w:top w:w="100" w:type="dxa"/>
              <w:start w:w="120" w:type="dxa"/>
              <w:bottom w:w="100" w:type="dxa"/>
              <w:end w:w="120" w:type="dxa"/>
            </w:tcMar>
            <w:vAlign w:val="center"/>
            <w:shd w:fill="D9EAF7"/>
          </w:tcPr>
          <w:p>
            <w:pPr>
              <w:spacing w:after="40"/>
              <w:jc w:val="center"/>
            </w:pPr>
            <w:r>
              <w:rPr>
                <w:rFonts w:ascii="Calibri" w:hAnsi="Calibri"/>
                <w:b/>
                <w:i w:val="0"/>
                <w:color w:val="1F4E78"/>
                <w:sz w:val="36"/>
              </w:rPr>
              <w:t>5.38m</w:t>
            </w:r>
          </w:p>
          <w:p>
            <w:pPr>
              <w:spacing w:after="0"/>
              <w:jc w:val="center"/>
            </w:pPr>
            <w:r>
              <w:rPr>
                <w:rFonts w:ascii="Calibri" w:hAnsi="Calibri"/>
                <w:b w:val="0"/>
                <w:i w:val="0"/>
                <w:color w:val="667085"/>
                <w:sz w:val="19"/>
              </w:rPr>
              <w:t>in-scope operated flights</w:t>
            </w:r>
          </w:p>
        </w:tc>
        <w:tc>
          <w:tcPr>
            <w:tcW w:type="dxa" w:w="3402"/>
            <w:tcMar>
              <w:top w:w="100" w:type="dxa"/>
              <w:start w:w="120" w:type="dxa"/>
              <w:bottom w:w="100" w:type="dxa"/>
              <w:end w:w="120" w:type="dxa"/>
            </w:tcMar>
            <w:vAlign w:val="center"/>
            <w:shd w:fill="D9EAF7"/>
          </w:tcPr>
          <w:p>
            <w:pPr>
              <w:spacing w:after="40"/>
              <w:jc w:val="center"/>
            </w:pPr>
            <w:r>
              <w:rPr>
                <w:rFonts w:ascii="Calibri" w:hAnsi="Calibri"/>
                <w:b/>
                <w:i w:val="0"/>
                <w:color w:val="1F4E78"/>
                <w:sz w:val="36"/>
              </w:rPr>
              <w:t>82.2%</w:t>
            </w:r>
          </w:p>
          <w:p>
            <w:pPr>
              <w:spacing w:after="0"/>
              <w:jc w:val="center"/>
            </w:pPr>
            <w:r>
              <w:rPr>
                <w:rFonts w:ascii="Calibri" w:hAnsi="Calibri"/>
                <w:b w:val="0"/>
                <w:i w:val="0"/>
                <w:color w:val="667085"/>
                <w:sz w:val="19"/>
              </w:rPr>
              <w:t>arrival OTP15</w:t>
            </w:r>
          </w:p>
        </w:tc>
        <w:tc>
          <w:tcPr>
            <w:tcW w:type="dxa" w:w="3401"/>
            <w:tcMar>
              <w:top w:w="100" w:type="dxa"/>
              <w:start w:w="120" w:type="dxa"/>
              <w:bottom w:w="100" w:type="dxa"/>
              <w:end w:w="120" w:type="dxa"/>
            </w:tcMar>
            <w:vAlign w:val="center"/>
            <w:shd w:fill="D9EAF7"/>
          </w:tcPr>
          <w:p>
            <w:pPr>
              <w:spacing w:after="40"/>
              <w:jc w:val="center"/>
            </w:pPr>
            <w:r>
              <w:rPr>
                <w:rFonts w:ascii="Calibri" w:hAnsi="Calibri"/>
                <w:b/>
                <w:i w:val="0"/>
                <w:color w:val="1F4E78"/>
                <w:sz w:val="36"/>
              </w:rPr>
              <w:t>22.0 min</w:t>
            </w:r>
          </w:p>
          <w:p>
            <w:pPr>
              <w:spacing w:after="0"/>
              <w:jc w:val="center"/>
            </w:pPr>
            <w:r>
              <w:rPr>
                <w:rFonts w:ascii="Calibri" w:hAnsi="Calibri"/>
                <w:b w:val="0"/>
                <w:i w:val="0"/>
                <w:color w:val="667085"/>
                <w:sz w:val="19"/>
              </w:rPr>
              <w:t>p90 arrival delay</w:t>
            </w:r>
          </w:p>
        </w:tc>
      </w:tr>
      <w:tr>
        <w:tc>
          <w:tcPr>
            <w:tcW w:type="dxa" w:w="3402"/>
            <w:tcMar>
              <w:top w:w="100" w:type="dxa"/>
              <w:start w:w="120" w:type="dxa"/>
              <w:bottom w:w="100" w:type="dxa"/>
              <w:end w:w="120" w:type="dxa"/>
            </w:tcMar>
            <w:vAlign w:val="center"/>
            <w:shd w:fill="D9EAF7"/>
          </w:tcPr>
          <w:p>
            <w:pPr>
              <w:spacing w:after="40"/>
              <w:jc w:val="center"/>
            </w:pPr>
            <w:r>
              <w:rPr>
                <w:rFonts w:ascii="Calibri" w:hAnsi="Calibri"/>
                <w:b/>
                <w:i w:val="0"/>
                <w:color w:val="1F4E78"/>
                <w:sz w:val="36"/>
              </w:rPr>
              <w:t>34,420</w:t>
            </w:r>
          </w:p>
          <w:p>
            <w:pPr>
              <w:spacing w:after="0"/>
              <w:jc w:val="center"/>
            </w:pPr>
            <w:r>
              <w:rPr>
                <w:rFonts w:ascii="Calibri" w:hAnsi="Calibri"/>
                <w:b w:val="0"/>
                <w:i w:val="0"/>
                <w:color w:val="667085"/>
                <w:sz w:val="19"/>
              </w:rPr>
              <w:t>directional routes</w:t>
            </w:r>
          </w:p>
        </w:tc>
        <w:tc>
          <w:tcPr>
            <w:tcW w:type="dxa" w:w="3402"/>
            <w:tcMar>
              <w:top w:w="100" w:type="dxa"/>
              <w:start w:w="120" w:type="dxa"/>
              <w:bottom w:w="100" w:type="dxa"/>
              <w:end w:w="120" w:type="dxa"/>
            </w:tcMar>
            <w:vAlign w:val="center"/>
            <w:shd w:fill="D9EAF7"/>
          </w:tcPr>
          <w:p>
            <w:pPr>
              <w:spacing w:after="40"/>
              <w:jc w:val="center"/>
            </w:pPr>
            <w:r>
              <w:rPr>
                <w:rFonts w:ascii="Calibri" w:hAnsi="Calibri"/>
                <w:b/>
                <w:i w:val="0"/>
                <w:color w:val="1F4E78"/>
                <w:sz w:val="36"/>
              </w:rPr>
              <w:t>485</w:t>
            </w:r>
          </w:p>
          <w:p>
            <w:pPr>
              <w:spacing w:after="0"/>
              <w:jc w:val="center"/>
            </w:pPr>
            <w:r>
              <w:rPr>
                <w:rFonts w:ascii="Calibri" w:hAnsi="Calibri"/>
                <w:b w:val="0"/>
                <w:i w:val="0"/>
                <w:color w:val="667085"/>
                <w:sz w:val="19"/>
              </w:rPr>
              <w:t>operating-carrier codes</w:t>
            </w:r>
          </w:p>
        </w:tc>
        <w:tc>
          <w:tcPr>
            <w:tcW w:type="dxa" w:w="3401"/>
            <w:tcMar>
              <w:top w:w="100" w:type="dxa"/>
              <w:start w:w="120" w:type="dxa"/>
              <w:bottom w:w="100" w:type="dxa"/>
              <w:end w:w="120" w:type="dxa"/>
            </w:tcMar>
            <w:vAlign w:val="center"/>
            <w:shd w:fill="D9EAF7"/>
          </w:tcPr>
          <w:p>
            <w:pPr>
              <w:spacing w:after="40"/>
              <w:jc w:val="center"/>
            </w:pPr>
            <w:r>
              <w:rPr>
                <w:rFonts w:ascii="Calibri" w:hAnsi="Calibri"/>
                <w:b/>
                <w:i w:val="0"/>
                <w:color w:val="1F4E78"/>
                <w:sz w:val="36"/>
              </w:rPr>
              <w:t>9</w:t>
            </w:r>
          </w:p>
          <w:p>
            <w:pPr>
              <w:spacing w:after="0"/>
              <w:jc w:val="center"/>
            </w:pPr>
            <w:r>
              <w:rPr>
                <w:rFonts w:ascii="Calibri" w:hAnsi="Calibri"/>
                <w:b w:val="0"/>
                <w:i w:val="0"/>
                <w:color w:val="667085"/>
                <w:sz w:val="19"/>
              </w:rPr>
              <w:t>monthly snapshots</w:t>
            </w:r>
          </w:p>
        </w:tc>
      </w:tr>
    </w:tbl>
    <w:p/>
    <w:p>
      <w:pPr>
        <w:spacing w:before="560"/>
        <w:jc w:val="center"/>
      </w:pPr>
      <w:r>
        <w:rPr>
          <w:rFonts w:ascii="Calibri" w:hAnsi="Calibri"/>
          <w:b/>
          <w:i w:val="0"/>
          <w:color w:val="1F4E78"/>
          <w:sz w:val="22"/>
        </w:rPr>
        <w:t>Prepared from the complete business EDA execution</w:t>
      </w:r>
    </w:p>
    <w:p>
      <w:pPr>
        <w:jc w:val="center"/>
      </w:pPr>
      <w:r>
        <w:rPr>
          <w:rFonts w:ascii="Calibri" w:hAnsi="Calibri"/>
          <w:b w:val="0"/>
          <w:i w:val="0"/>
          <w:color w:val="667085"/>
          <w:sz w:val="20"/>
        </w:rPr>
        <w:t>Descriptive evidence for operational prioritisation; not a causal or passenger-demand study</w:t>
      </w:r>
    </w:p>
    <w:p>
      <w:r>
        <w:br w:type="page"/>
      </w:r>
    </w:p>
    <w:p>
      <w:pPr>
        <w:pStyle w:val="Heading1"/>
      </w:pPr>
      <w:r>
        <w:t>Executive summary</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70AD47"/>
          </w:tcPr>
          <w:p>
            <w:pPr>
              <w:spacing w:after="0"/>
            </w:pPr>
            <w:r>
              <w:rPr>
                <w:rFonts w:ascii="Calibri" w:hAnsi="Calibri"/>
                <w:b/>
                <w:i w:val="0"/>
                <w:color w:val="1F4E78"/>
                <w:sz w:val="22"/>
              </w:rPr>
              <w:t xml:space="preserve">Network result  </w:t>
            </w:r>
            <w:r>
              <w:rPr>
                <w:rFonts w:ascii="Calibri" w:hAnsi="Calibri"/>
                <w:b w:val="0"/>
                <w:i w:val="0"/>
                <w:color w:val="1F2937"/>
                <w:sz w:val="22"/>
              </w:rPr>
              <w:t>82.2% of 5.38 million eligible operated flights arrived within 15 minutes of schedule. OTP15 is the sole decision metric in this version.</w:t>
            </w:r>
          </w:p>
        </w:tc>
      </w:tr>
    </w:tbl>
    <w:p>
      <w:pPr>
        <w:spacing w:after="20"/>
      </w:pPr>
    </w:p>
    <w:p>
      <w:r>
        <w:rPr>
          <w:rFonts w:ascii="Calibri" w:hAnsi="Calibri"/>
          <w:b w:val="0"/>
          <w:i w:val="0"/>
          <w:color w:val="1F2937"/>
          <w:sz w:val="24"/>
        </w:rPr>
        <w:t>This report is an operational screening tool. It identifies large, repeated differences by airport, country or territory, operating carrier, traffic pressure, weekday and hour. It does not assign responsibility because route mix, schedule design and external disruption affect raw comparisons.</w:t>
      </w:r>
    </w:p>
    <w:p>
      <w:r>
        <w:rPr>
          <w:rFonts w:ascii="Calibri" w:hAnsi="Calibri"/>
          <w:b w:val="0"/>
          <w:i w:val="0"/>
          <w:color w:val="1F2937"/>
          <w:sz w:val="24"/>
        </w:rPr>
        <w:t>The clearest network signal is traffic pressure. The share arriving more than 15 minutes late rises from 12.0% in each airport's lowest traffic quartile to 21.1% in its peak quartile. This 9.1-point gap exceeds the agreed three-percentage-point business threshold, although it remains an association rather than causal proof.</w:t>
      </w:r>
    </w:p>
    <w:p>
      <w:r>
        <w:rPr>
          <w:rFonts w:ascii="Calibri" w:hAnsi="Calibri"/>
          <w:b w:val="0"/>
          <w:i w:val="0"/>
          <w:color w:val="1F2937"/>
          <w:sz w:val="24"/>
        </w:rPr>
        <w:t>Weekday differences are statistically detectable because the sample is very large, but no weekday differs from the rest of the network by the agreed three-point threshold. Tuesday is descriptively strongest at 84.3% OTP15 and Saturday weakest at 80.3%; the practical focus should be day-by-hour windows, not weekday alone.</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Management focus  </w:t>
            </w:r>
            <w:r>
              <w:rPr>
                <w:rFonts w:ascii="Calibri" w:hAnsi="Calibri"/>
                <w:b w:val="0"/>
                <w:i w:val="0"/>
                <w:color w:val="1F2937"/>
                <w:sz w:val="22"/>
              </w:rPr>
              <w:t>Use high-volume maps and Wilson rankings to select investigations; monitor the ten busiest origin airports by period; and control route, airport, duration and hour before publishing a fair airline league table.</w:t>
            </w:r>
          </w:p>
        </w:tc>
      </w:tr>
    </w:tbl>
    <w:p>
      <w:pPr>
        <w:spacing w:after="20"/>
      </w:pPr>
    </w:p>
    <w:p>
      <w:pPr>
        <w:pStyle w:val="Heading1"/>
        <w:pageBreakBefore/>
      </w:pPr>
      <w:r>
        <w:t>1. Methodology and decision rules</w:t>
      </w:r>
    </w:p>
    <w:p>
      <w:pPr>
        <w:pStyle w:val="Heading2"/>
      </w:pPr>
      <w:r>
        <w:t>Scope and denominator</w:t>
      </w:r>
    </w:p>
    <w:p>
      <w:r>
        <w:rPr>
          <w:rFonts w:ascii="Calibri" w:hAnsi="Calibri"/>
          <w:b w:val="0"/>
          <w:i w:val="0"/>
          <w:color w:val="1F2937"/>
          <w:sz w:val="24"/>
        </w:rPr>
        <w:t>The analysis uses nine observed monthly snapshots: June, September and December 2021; March, June, September and December 2022; and March and June 2023. They are not consecutive monthly data. Only regular scheduled flights (ICAO Flight Type S) are included, and arrival OTP15 requires an observed operated arrival. The source has no complete passenger or cancellation denominator.</w:t>
      </w:r>
    </w:p>
    <w:p>
      <w:r>
        <w:rPr>
          <w:rFonts w:ascii="Calibri" w:hAnsi="Calibri"/>
          <w:b w:val="0"/>
          <w:i w:val="0"/>
          <w:color w:val="1F2937"/>
          <w:sz w:val="24"/>
        </w:rPr>
        <w:t>Quality rules exclude impossible early delays below -120 minutes, flight levels outside 0-500 and non-positive flown distance when those measurements are present. Null physical measurements are retained when the KPI does not depend on them.</w:t>
      </w:r>
    </w:p>
    <w:p>
      <w:r>
        <w:rPr>
          <w:rFonts w:ascii="Calibri" w:hAnsi="Calibri"/>
          <w:b w:val="0"/>
          <w:i w:val="0"/>
          <w:color w:val="1F2937"/>
          <w:sz w:val="24"/>
        </w:rPr>
        <w:t>Executive eligibility is stricter than exploratory filtering. Airports require at least 200 flights and presence in three snapshots; operating carriers require 1,000 flights; routes require 20 flights and three snapshots; countries or territories require 1,000 historical endpoint movements. A jurisdiction represented by one airport remains visible but is marked as limited representation.</w:t>
      </w:r>
    </w:p>
    <w:p>
      <w:pPr>
        <w:pStyle w:val="Heading2"/>
      </w:pPr>
      <w:r>
        <w:t>Why Wilson, p-tests and a practical threshold</w:t>
      </w:r>
    </w:p>
    <w:p>
      <w:r>
        <w:rPr>
          <w:rFonts w:ascii="Calibri" w:hAnsi="Calibri"/>
          <w:b w:val="0"/>
          <w:i w:val="0"/>
          <w:color w:val="1F2937"/>
          <w:sz w:val="24"/>
        </w:rPr>
        <w:t>Wilson 95% intervals show uncertainty around OTP15 and behave well near 0% and 100%. Rankings use conservative Wilson bounds, which prevents a small group with a lucky point estimate from automatically leading the table.</w:t>
      </w:r>
    </w:p>
    <w:p>
      <w:r>
        <w:rPr>
          <w:rFonts w:ascii="Calibri" w:hAnsi="Calibri"/>
          <w:b w:val="0"/>
          <w:i w:val="0"/>
          <w:color w:val="1F2937"/>
          <w:sz w:val="24"/>
        </w:rPr>
        <w:t>Each eligible group is compared with the rest of the network using a two-proportion z-test. Benjamini-Hochberg adjustment controls the false-discovery rate across many comparisons. Because millions of flights make tiny differences statistically significant, a result is decision-relevant only when the adjusted p-value is below 0.05 and the absolute OTP15 difference is at least three percentage points.</w:t>
      </w:r>
    </w:p>
    <w:p>
      <w:r>
        <w:rPr>
          <w:rFonts w:ascii="Calibri" w:hAnsi="Calibri"/>
          <w:b w:val="0"/>
          <w:i w:val="0"/>
          <w:color w:val="1F2937"/>
          <w:sz w:val="24"/>
        </w:rPr>
        <w:t>Trend lines use the nine snapshots, require at least six observed periods and estimate a June 2021-to-June 2023 change. The top-10 airport alert matrix compares each period with that airport's other periods, avoiding a benchmark that contains the value being assessed. These are monitoring signals, not causal estimates.</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Delay definition used in the report  </w:t>
            </w:r>
            <w:r>
              <w:rPr>
                <w:rFonts w:ascii="Calibri" w:hAnsi="Calibri"/>
                <w:b w:val="0"/>
                <w:i w:val="0"/>
                <w:color w:val="1F2937"/>
                <w:sz w:val="22"/>
              </w:rPr>
              <w:t>Unless a figure explicitly says departure delay, OTP15 and relative-delay burden use arrival delay: ACTUAL ARRIVAL TIME minus FILED ARRIVAL TIME. OTP15 means that this arrival difference is at most 15 minutes. Statistical significance tests whether a difference is likely to be noise; the three-point threshold tests whether it is large enough to matter operationally. Both conditions are required.</w:t>
            </w:r>
          </w:p>
        </w:tc>
      </w:tr>
    </w:tbl>
    <w:p>
      <w:pPr>
        <w:spacing w:after="20"/>
      </w:pPr>
    </w:p>
    <w:p>
      <w:pPr>
        <w:keepNext/>
        <w:jc w:val="center"/>
      </w:pPr>
      <w:r>
        <w:drawing>
          <wp:inline xmlns:a="http://schemas.openxmlformats.org/drawingml/2006/main" xmlns:pic="http://schemas.openxmlformats.org/drawingml/2006/picture">
            <wp:extent cx="5580000" cy="1670413"/>
            <wp:docPr id="1" name="Picture 1" descr="Figure 1. How rates, uncertainty, hypothesis tests and practical importance work together."/>
            <wp:cNvGraphicFramePr>
              <a:graphicFrameLocks noChangeAspect="1"/>
            </wp:cNvGraphicFramePr>
            <a:graphic>
              <a:graphicData uri="http://schemas.openxmlformats.org/drawingml/2006/picture">
                <pic:pic>
                  <pic:nvPicPr>
                    <pic:cNvPr id="0" name="statistical_method_explainer.png"/>
                    <pic:cNvPicPr/>
                  </pic:nvPicPr>
                  <pic:blipFill>
                    <a:blip r:embed="rId11"/>
                    <a:stretch>
                      <a:fillRect/>
                    </a:stretch>
                  </pic:blipFill>
                  <pic:spPr>
                    <a:xfrm>
                      <a:off x="0" y="0"/>
                      <a:ext cx="5580000" cy="1670413"/>
                    </a:xfrm>
                    <a:prstGeom prst="rect"/>
                  </pic:spPr>
                </pic:pic>
              </a:graphicData>
            </a:graphic>
          </wp:inline>
        </w:drawing>
      </w:r>
    </w:p>
    <w:p>
      <w:pPr>
        <w:spacing w:before="40" w:after="40"/>
        <w:jc w:val="center"/>
      </w:pPr>
      <w:r>
        <w:rPr>
          <w:rFonts w:ascii="Calibri" w:hAnsi="Calibri"/>
          <w:b w:val="0"/>
          <w:i/>
          <w:color w:val="667085"/>
          <w:sz w:val="18"/>
        </w:rPr>
        <w:t>Figure 1. How rates, uncertainty, hypothesis tests and practical importance work together.</w:t>
      </w:r>
    </w:p>
    <w:p>
      <w:pPr>
        <w:spacing w:before="0" w:after="120"/>
        <w:jc w:val="center"/>
      </w:pPr>
      <w:r>
        <w:rPr>
          <w:rFonts w:ascii="Calibri" w:hAnsi="Calibri"/>
          <w:b w:val="0"/>
          <w:i w:val="0"/>
          <w:color w:val="667085"/>
          <w:sz w:val="17"/>
        </w:rPr>
        <w:t>Decision rule: adjusted p &lt; 0.05 and absolute OTP15 difference at least 3 percentage points.</w:t>
      </w:r>
    </w:p>
    <w:p>
      <w:pPr>
        <w:pStyle w:val="Heading1"/>
        <w:pageBreakBefore/>
      </w:pPr>
      <w:r>
        <w:t>2. Airports</w:t>
      </w:r>
    </w:p>
    <w:p>
      <w:pPr>
        <w:keepNext/>
        <w:jc w:val="center"/>
      </w:pPr>
      <w:r>
        <w:drawing>
          <wp:inline xmlns:a="http://schemas.openxmlformats.org/drawingml/2006/main" xmlns:pic="http://schemas.openxmlformats.org/drawingml/2006/picture">
            <wp:extent cx="5688000" cy="3241447"/>
            <wp:docPr id="2" name="Picture 2" descr="Figure 2. Eligible origin-airport OTP15 rankings with 95% Wilson intervals."/>
            <wp:cNvGraphicFramePr>
              <a:graphicFrameLocks noChangeAspect="1"/>
            </wp:cNvGraphicFramePr>
            <a:graphic>
              <a:graphicData uri="http://schemas.openxmlformats.org/drawingml/2006/picture">
                <pic:pic>
                  <pic:nvPicPr>
                    <pic:cNvPr id="0" name="origin_airport_reliability_rankings.png"/>
                    <pic:cNvPicPr/>
                  </pic:nvPicPr>
                  <pic:blipFill>
                    <a:blip r:embed="rId12"/>
                    <a:stretch>
                      <a:fillRect/>
                    </a:stretch>
                  </pic:blipFill>
                  <pic:spPr>
                    <a:xfrm>
                      <a:off x="0" y="0"/>
                      <a:ext cx="5688000" cy="3241447"/>
                    </a:xfrm>
                    <a:prstGeom prst="rect"/>
                  </pic:spPr>
                </pic:pic>
              </a:graphicData>
            </a:graphic>
          </wp:inline>
        </w:drawing>
      </w:r>
    </w:p>
    <w:p>
      <w:pPr>
        <w:spacing w:before="40" w:after="40"/>
        <w:jc w:val="center"/>
      </w:pPr>
      <w:r>
        <w:rPr>
          <w:rFonts w:ascii="Calibri" w:hAnsi="Calibri"/>
          <w:b w:val="0"/>
          <w:i/>
          <w:color w:val="667085"/>
          <w:sz w:val="18"/>
        </w:rPr>
        <w:t>Figure 2. Eligible origin-airport OTP15 rankings with 95% Wilson intervals.</w:t>
      </w:r>
    </w:p>
    <w:p>
      <w:pPr>
        <w:spacing w:before="0" w:after="120"/>
        <w:jc w:val="center"/>
      </w:pPr>
      <w:r>
        <w:rPr>
          <w:rFonts w:ascii="Calibri" w:hAnsi="Calibri"/>
          <w:b w:val="0"/>
          <w:i w:val="0"/>
          <w:color w:val="667085"/>
          <w:sz w:val="17"/>
        </w:rPr>
        <w:t>Eligibility: at least 200 flights and three observed periods; ranking uses Wilson bounds.</w:t>
      </w:r>
    </w:p>
    <w:p>
      <w:pPr>
        <w:keepNext/>
        <w:jc w:val="center"/>
      </w:pPr>
      <w:r>
        <w:drawing>
          <wp:inline xmlns:a="http://schemas.openxmlformats.org/drawingml/2006/main" xmlns:pic="http://schemas.openxmlformats.org/drawingml/2006/picture">
            <wp:extent cx="5688000" cy="3241447"/>
            <wp:docPr id="3" name="Picture 3" descr="Figure 3. Eligible destination-airport OTP15 rankings with 95% Wilson intervals."/>
            <wp:cNvGraphicFramePr>
              <a:graphicFrameLocks noChangeAspect="1"/>
            </wp:cNvGraphicFramePr>
            <a:graphic>
              <a:graphicData uri="http://schemas.openxmlformats.org/drawingml/2006/picture">
                <pic:pic>
                  <pic:nvPicPr>
                    <pic:cNvPr id="0" name="destination_airport_reliability_rankings.png"/>
                    <pic:cNvPicPr/>
                  </pic:nvPicPr>
                  <pic:blipFill>
                    <a:blip r:embed="rId13"/>
                    <a:stretch>
                      <a:fillRect/>
                    </a:stretch>
                  </pic:blipFill>
                  <pic:spPr>
                    <a:xfrm>
                      <a:off x="0" y="0"/>
                      <a:ext cx="5688000" cy="3241447"/>
                    </a:xfrm>
                    <a:prstGeom prst="rect"/>
                  </pic:spPr>
                </pic:pic>
              </a:graphicData>
            </a:graphic>
          </wp:inline>
        </w:drawing>
      </w:r>
    </w:p>
    <w:p>
      <w:pPr>
        <w:spacing w:before="40" w:after="40"/>
        <w:jc w:val="center"/>
      </w:pPr>
      <w:r>
        <w:rPr>
          <w:rFonts w:ascii="Calibri" w:hAnsi="Calibri"/>
          <w:b w:val="0"/>
          <w:i/>
          <w:color w:val="667085"/>
          <w:sz w:val="18"/>
        </w:rPr>
        <w:t>Figure 3. Eligible destination-airport OTP15 rankings with 95% Wilson intervals.</w:t>
      </w:r>
    </w:p>
    <w:p>
      <w:pPr>
        <w:spacing w:before="0" w:after="120"/>
        <w:jc w:val="center"/>
      </w:pPr>
      <w:r>
        <w:rPr>
          <w:rFonts w:ascii="Calibri" w:hAnsi="Calibri"/>
          <w:b w:val="0"/>
          <w:i w:val="0"/>
          <w:color w:val="667085"/>
          <w:sz w:val="17"/>
        </w:rPr>
        <w:t>Results describe observed outcomes and are not adjusted causal airport effects.</w:t>
      </w:r>
    </w:p>
    <w:p>
      <w:r>
        <w:rPr>
          <w:rFonts w:ascii="Calibri" w:hAnsi="Calibri"/>
          <w:b w:val="0"/>
          <w:i w:val="0"/>
          <w:color w:val="1F2937"/>
          <w:sz w:val="24"/>
        </w:rPr>
        <w:t>The three most problematic eligible origins are CYUL (9.6% OTP15), CYYZ (14.3%) and CYVR (15.4%). These now match the plotted top three. Their long-haul geography requires a route-direction and schedule-time audit before attributing the result to local airport operations.</w:t>
      </w:r>
    </w:p>
    <w:p>
      <w:r>
        <w:rPr>
          <w:rFonts w:ascii="Calibri" w:hAnsi="Calibri"/>
          <w:b w:val="0"/>
          <w:i w:val="0"/>
          <w:color w:val="1F2937"/>
          <w:sz w:val="24"/>
        </w:rPr>
        <w:t>The three most reliable eligible origins are ENBN, ESUP and ENMS. The leading destinations are LGNX, GCGM and LGPA; the lowest-ranked eligible destination is SOCA at 44.4% OTP15.</w:t>
      </w:r>
    </w:p>
    <w:p>
      <w:pPr>
        <w:pStyle w:val="Heading2"/>
        <w:pageBreakBefore/>
      </w:pPr>
      <w:r>
        <w:t>Airport geography and monitoring</w:t>
      </w:r>
    </w:p>
    <w:p>
      <w:pPr>
        <w:keepNext/>
        <w:jc w:val="center"/>
      </w:pPr>
      <w:r>
        <w:drawing>
          <wp:inline xmlns:a="http://schemas.openxmlformats.org/drawingml/2006/main" xmlns:pic="http://schemas.openxmlformats.org/drawingml/2006/picture">
            <wp:extent cx="6192000" cy="5409800"/>
            <wp:docPr id="4" name="Picture 4" descr="Figure 4. Top-200 airport volume and OTP15 on a grayscale geographic basemap."/>
            <wp:cNvGraphicFramePr>
              <a:graphicFrameLocks noChangeAspect="1"/>
            </wp:cNvGraphicFramePr>
            <a:graphic>
              <a:graphicData uri="http://schemas.openxmlformats.org/drawingml/2006/picture">
                <pic:pic>
                  <pic:nvPicPr>
                    <pic:cNvPr id="0" name="top200_airport_otp15_geographic_maps.png"/>
                    <pic:cNvPicPr/>
                  </pic:nvPicPr>
                  <pic:blipFill>
                    <a:blip r:embed="rId14"/>
                    <a:stretch>
                      <a:fillRect/>
                    </a:stretch>
                  </pic:blipFill>
                  <pic:spPr>
                    <a:xfrm>
                      <a:off x="0" y="0"/>
                      <a:ext cx="6192000" cy="5409800"/>
                    </a:xfrm>
                    <a:prstGeom prst="rect"/>
                  </pic:spPr>
                </pic:pic>
              </a:graphicData>
            </a:graphic>
          </wp:inline>
        </w:drawing>
      </w:r>
    </w:p>
    <w:p>
      <w:pPr>
        <w:spacing w:before="40" w:after="40"/>
        <w:jc w:val="center"/>
      </w:pPr>
      <w:r>
        <w:rPr>
          <w:rFonts w:ascii="Calibri" w:hAnsi="Calibri"/>
          <w:b w:val="0"/>
          <w:i/>
          <w:color w:val="667085"/>
          <w:sz w:val="18"/>
        </w:rPr>
        <w:t>Figure 4. Top-200 airport volume and OTP15 on a grayscale geographic basemap.</w:t>
      </w:r>
    </w:p>
    <w:p>
      <w:pPr>
        <w:spacing w:before="0" w:after="120"/>
        <w:jc w:val="center"/>
      </w:pPr>
      <w:r>
        <w:rPr>
          <w:rFonts w:ascii="Calibri" w:hAnsi="Calibri"/>
          <w:b w:val="0"/>
          <w:i w:val="0"/>
          <w:color w:val="667085"/>
          <w:sz w:val="17"/>
        </w:rPr>
        <w:t>The upper panel focuses on Europe and clips the far east of Russia and Turkey; the lower panel checks global coverage. Bubble area is movement volume.</w:t>
      </w:r>
    </w:p>
    <w:p>
      <w:pPr>
        <w:pStyle w:val="Heading2"/>
        <w:pageBreakBefore/>
      </w:pPr>
      <w:r>
        <w:t>Airport delay burden beyond OTP15</w:t>
      </w:r>
    </w:p>
    <w:p>
      <w:pPr>
        <w:keepNext/>
        <w:jc w:val="center"/>
      </w:pPr>
      <w:r>
        <w:drawing>
          <wp:inline xmlns:a="http://schemas.openxmlformats.org/drawingml/2006/main" xmlns:pic="http://schemas.openxmlformats.org/drawingml/2006/picture">
            <wp:extent cx="6192000" cy="2996411"/>
            <wp:docPr id="5" name="Picture 5" descr="Figure 4B. The same high-volume destination airports compared by OTP15 and relative delay burden."/>
            <wp:cNvGraphicFramePr>
              <a:graphicFrameLocks noChangeAspect="1"/>
            </wp:cNvGraphicFramePr>
            <a:graphic>
              <a:graphicData uri="http://schemas.openxmlformats.org/drawingml/2006/picture">
                <pic:pic>
                  <pic:nvPicPr>
                    <pic:cNvPr id="0" name="top200_airport_relative_delay_comparison.png"/>
                    <pic:cNvPicPr/>
                  </pic:nvPicPr>
                  <pic:blipFill>
                    <a:blip r:embed="rId15"/>
                    <a:stretch>
                      <a:fillRect/>
                    </a:stretch>
                  </pic:blipFill>
                  <pic:spPr>
                    <a:xfrm>
                      <a:off x="0" y="0"/>
                      <a:ext cx="6192000" cy="2996411"/>
                    </a:xfrm>
                    <a:prstGeom prst="rect"/>
                  </pic:spPr>
                </pic:pic>
              </a:graphicData>
            </a:graphic>
          </wp:inline>
        </w:drawing>
      </w:r>
    </w:p>
    <w:p>
      <w:pPr>
        <w:spacing w:before="40" w:after="40"/>
        <w:jc w:val="center"/>
      </w:pPr>
      <w:r>
        <w:rPr>
          <w:rFonts w:ascii="Calibri" w:hAnsi="Calibri"/>
          <w:b w:val="0"/>
          <w:i/>
          <w:color w:val="667085"/>
          <w:sz w:val="18"/>
        </w:rPr>
        <w:t>Figure 4B. The same high-volume destination airports compared by OTP15 and relative delay burden.</w:t>
      </w:r>
    </w:p>
    <w:p>
      <w:pPr>
        <w:spacing w:before="0" w:after="120"/>
        <w:jc w:val="center"/>
      </w:pPr>
      <w:r>
        <w:rPr>
          <w:rFonts w:ascii="Calibri" w:hAnsi="Calibri"/>
          <w:b w:val="0"/>
          <w:i w:val="0"/>
          <w:color w:val="667085"/>
          <w:sz w:val="17"/>
        </w:rPr>
        <w:t>Relative burden is total positive arrival-delay minutes divided by total scheduled flight minutes. Bubble area represents observed arrivals; the original OTP15 geographic map is retained on the preceding page.</w:t>
      </w:r>
    </w:p>
    <w:p>
      <w:r>
        <w:rPr>
          <w:rFonts w:ascii="Calibri" w:hAnsi="Calibri"/>
          <w:b w:val="0"/>
          <w:i w:val="0"/>
          <w:color w:val="1F2937"/>
          <w:sz w:val="24"/>
        </w:rPr>
        <w:t>The highest visible relative-delay burdens are LTAC (11.3%), DAAG (9.9%), UMKK (9.6%). This metric is not the percentage of flights delayed: it measures positive delay minutes relative to scheduled flying minutes.</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Interpret with OTP15  </w:t>
            </w:r>
            <w:r>
              <w:rPr>
                <w:rFonts w:ascii="Calibri" w:hAnsi="Calibri"/>
                <w:b w:val="0"/>
                <w:i w:val="0"/>
                <w:color w:val="1F2937"/>
                <w:sz w:val="22"/>
              </w:rPr>
              <w:t>OTP15 measures frequency; relative delay burden adds severity scaled to flight duration. A high value in both panels is a stronger investigation signal, but long-haul schedule times, timezones and date rollover must be audited before attributing performance.</w:t>
            </w:r>
          </w:p>
        </w:tc>
      </w:tr>
    </w:tbl>
    <w:p>
      <w:pPr>
        <w:spacing w:after="20"/>
      </w:pPr>
    </w:p>
    <w:p>
      <w:r>
        <w:br w:type="page"/>
      </w:r>
    </w:p>
    <w:p>
      <w:pPr>
        <w:keepNext/>
        <w:jc w:val="center"/>
      </w:pPr>
      <w:r>
        <w:drawing>
          <wp:inline xmlns:a="http://schemas.openxmlformats.org/drawingml/2006/main" xmlns:pic="http://schemas.openxmlformats.org/drawingml/2006/picture">
            <wp:extent cx="6120000" cy="2996092"/>
            <wp:docPr id="6" name="Picture 6" descr="Figure 5. Period alerts for the ten highest-volume origin airports."/>
            <wp:cNvGraphicFramePr>
              <a:graphicFrameLocks noChangeAspect="1"/>
            </wp:cNvGraphicFramePr>
            <a:graphic>
              <a:graphicData uri="http://schemas.openxmlformats.org/drawingml/2006/picture">
                <pic:pic>
                  <pic:nvPicPr>
                    <pic:cNvPr id="0" name="top10_origin_airport_period_alerts.png"/>
                    <pic:cNvPicPr/>
                  </pic:nvPicPr>
                  <pic:blipFill>
                    <a:blip r:embed="rId16"/>
                    <a:stretch>
                      <a:fillRect/>
                    </a:stretch>
                  </pic:blipFill>
                  <pic:spPr>
                    <a:xfrm>
                      <a:off x="0" y="0"/>
                      <a:ext cx="6120000" cy="2996092"/>
                    </a:xfrm>
                    <a:prstGeom prst="rect"/>
                  </pic:spPr>
                </pic:pic>
              </a:graphicData>
            </a:graphic>
          </wp:inline>
        </w:drawing>
      </w:r>
    </w:p>
    <w:p>
      <w:pPr>
        <w:spacing w:before="40" w:after="40"/>
        <w:jc w:val="center"/>
      </w:pPr>
      <w:r>
        <w:rPr>
          <w:rFonts w:ascii="Calibri" w:hAnsi="Calibri"/>
          <w:b w:val="0"/>
          <w:i/>
          <w:color w:val="667085"/>
          <w:sz w:val="18"/>
        </w:rPr>
        <w:t>Figure 5. Period alerts for the ten highest-volume origin airports.</w:t>
      </w:r>
    </w:p>
    <w:p>
      <w:pPr>
        <w:spacing w:before="0" w:after="120"/>
        <w:jc w:val="center"/>
      </w:pPr>
      <w:r>
        <w:rPr>
          <w:rFonts w:ascii="Calibri" w:hAnsi="Calibri"/>
          <w:b w:val="0"/>
          <w:i w:val="0"/>
          <w:color w:val="667085"/>
          <w:sz w:val="17"/>
        </w:rPr>
        <w:t>Each snapshot is compared with the airport's other snapshots; an asterisk requires adjusted significance and at least a 3-point difference.</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How to use the alert matrix  </w:t>
            </w:r>
            <w:r>
              <w:rPr>
                <w:rFonts w:ascii="Calibri" w:hAnsi="Calibri"/>
                <w:b w:val="0"/>
                <w:i w:val="0"/>
                <w:color w:val="1F2937"/>
                <w:sz w:val="22"/>
              </w:rPr>
              <w:t>Red means material deterioration, blue material improvement, green a difference inside the three-point tolerance and grey an inconclusive result. Limiting the matrix to ten airports keeps it operationally readable.</w:t>
            </w:r>
          </w:p>
        </w:tc>
      </w:tr>
    </w:tbl>
    <w:p>
      <w:pPr>
        <w:spacing w:after="20"/>
      </w:pPr>
    </w:p>
    <w:p>
      <w:pPr>
        <w:pStyle w:val="Heading1"/>
        <w:pageBreakBefore/>
      </w:pPr>
      <w:r>
        <w:t>3. Countries and territories</w:t>
      </w:r>
    </w:p>
    <w:p>
      <w:r>
        <w:rPr>
          <w:rFonts w:ascii="Calibri" w:hAnsi="Calibri"/>
          <w:b w:val="0"/>
          <w:i w:val="0"/>
          <w:color w:val="1F2937"/>
          <w:sz w:val="24"/>
        </w:rPr>
        <w:t>Country-or-territory eligibility is at least 1,000 historical endpoint movements. A flight can contribute one origin and one destination endpoint. ISO-coded territories represented by one airport are retained, as requested, but marked as limited representation.</w:t>
      </w:r>
    </w:p>
    <w:p>
      <w:pPr>
        <w:keepNext/>
        <w:jc w:val="center"/>
      </w:pPr>
      <w:r>
        <w:drawing>
          <wp:inline xmlns:a="http://schemas.openxmlformats.org/drawingml/2006/main" xmlns:pic="http://schemas.openxmlformats.org/drawingml/2006/picture">
            <wp:extent cx="6300000" cy="4470208"/>
            <wp:docPr id="7" name="Picture 7" descr="Figure 6. Best and worst eligible country-or-territory OTP15 results."/>
            <wp:cNvGraphicFramePr>
              <a:graphicFrameLocks noChangeAspect="1"/>
            </wp:cNvGraphicFramePr>
            <a:graphic>
              <a:graphicData uri="http://schemas.openxmlformats.org/drawingml/2006/picture">
                <pic:pic>
                  <pic:nvPicPr>
                    <pic:cNvPr id="0" name="country_reliability_min_1000_movements.png"/>
                    <pic:cNvPicPr/>
                  </pic:nvPicPr>
                  <pic:blipFill>
                    <a:blip r:embed="rId17"/>
                    <a:stretch>
                      <a:fillRect/>
                    </a:stretch>
                  </pic:blipFill>
                  <pic:spPr>
                    <a:xfrm>
                      <a:off x="0" y="0"/>
                      <a:ext cx="6300000" cy="4470208"/>
                    </a:xfrm>
                    <a:prstGeom prst="rect"/>
                  </pic:spPr>
                </pic:pic>
              </a:graphicData>
            </a:graphic>
          </wp:inline>
        </w:drawing>
      </w:r>
    </w:p>
    <w:p>
      <w:pPr>
        <w:spacing w:before="40" w:after="40"/>
        <w:jc w:val="center"/>
      </w:pPr>
      <w:r>
        <w:rPr>
          <w:rFonts w:ascii="Calibri" w:hAnsi="Calibri"/>
          <w:b w:val="0"/>
          <w:i/>
          <w:color w:val="667085"/>
          <w:sz w:val="18"/>
        </w:rPr>
        <w:t>Figure 6. Best and worst eligible country-or-territory OTP15 results.</w:t>
      </w:r>
    </w:p>
    <w:p>
      <w:pPr>
        <w:spacing w:before="0" w:after="120"/>
        <w:jc w:val="center"/>
      </w:pPr>
      <w:r>
        <w:rPr>
          <w:rFonts w:ascii="Calibri" w:hAnsi="Calibri"/>
          <w:b w:val="0"/>
          <w:i w:val="0"/>
          <w:color w:val="667085"/>
          <w:sz w:val="17"/>
        </w:rPr>
        <w:t>Ranking uses Wilson bounds; limited marks identify a one-airport representation.</w:t>
      </w:r>
    </w:p>
    <w:p>
      <w:pPr>
        <w:keepNext/>
        <w:jc w:val="center"/>
      </w:pPr>
      <w:r>
        <w:drawing>
          <wp:inline xmlns:a="http://schemas.openxmlformats.org/drawingml/2006/main" xmlns:pic="http://schemas.openxmlformats.org/drawingml/2006/picture">
            <wp:extent cx="6300000" cy="3747749"/>
            <wp:docPr id="8" name="Picture 8" descr="Figure 7. Eligible country-or-territory OTP15 and represented movement volume in Europe."/>
            <wp:cNvGraphicFramePr>
              <a:graphicFrameLocks noChangeAspect="1"/>
            </wp:cNvGraphicFramePr>
            <a:graphic>
              <a:graphicData uri="http://schemas.openxmlformats.org/drawingml/2006/picture">
                <pic:pic>
                  <pic:nvPicPr>
                    <pic:cNvPr id="0" name="country_otp15_geographic_map.png"/>
                    <pic:cNvPicPr/>
                  </pic:nvPicPr>
                  <pic:blipFill>
                    <a:blip r:embed="rId18"/>
                    <a:stretch>
                      <a:fillRect/>
                    </a:stretch>
                  </pic:blipFill>
                  <pic:spPr>
                    <a:xfrm>
                      <a:off x="0" y="0"/>
                      <a:ext cx="6300000" cy="3747749"/>
                    </a:xfrm>
                    <a:prstGeom prst="rect"/>
                  </pic:spPr>
                </pic:pic>
              </a:graphicData>
            </a:graphic>
          </wp:inline>
        </w:drawing>
      </w:r>
    </w:p>
    <w:p>
      <w:pPr>
        <w:spacing w:before="40" w:after="40"/>
        <w:jc w:val="center"/>
      </w:pPr>
      <w:r>
        <w:rPr>
          <w:rFonts w:ascii="Calibri" w:hAnsi="Calibri"/>
          <w:b w:val="0"/>
          <w:i/>
          <w:color w:val="667085"/>
          <w:sz w:val="18"/>
        </w:rPr>
        <w:t>Figure 7. Eligible country-or-territory OTP15 and represented movement volume in Europe.</w:t>
      </w:r>
    </w:p>
    <w:p>
      <w:pPr>
        <w:spacing w:before="0" w:after="120"/>
        <w:jc w:val="center"/>
      </w:pPr>
      <w:r>
        <w:rPr>
          <w:rFonts w:ascii="Calibri" w:hAnsi="Calibri"/>
          <w:b w:val="0"/>
          <w:i w:val="0"/>
          <w:color w:val="667085"/>
          <w:sz w:val="17"/>
        </w:rPr>
        <w:t>Bubble position is the mean coordinate of represented airports; the basemap is geographic context only.</w:t>
      </w:r>
    </w:p>
    <w:tbl>
      <w:tblPr>
        <w:tblW w:type="dxa" w:w="10205"/>
        <w:tblLayout w:type="fixed"/>
        <w:tblLook w:firstColumn="1" w:firstRow="1" w:lastColumn="0" w:lastRow="0" w:noHBand="0" w:noVBand="1" w:val="04A0"/>
        <w:jc w:val="left"/>
        <w:tblInd w:w="120" w:type="dxa"/>
      </w:tblPr>
      <w:tblGrid>
        <w:gridCol w:w="2600"/>
        <w:gridCol w:w="1200"/>
        <w:gridCol w:w="1800"/>
        <w:gridCol w:w="1600"/>
        <w:gridCol w:w="3005"/>
      </w:tblGrid>
      <w:tr>
        <w:trPr>
          <w:tblHeader/>
          <w:cantSplit/>
        </w:trPr>
        <w:tc>
          <w:tcPr>
            <w:tcW w:type="dxa" w:w="2600"/>
            <w:tcMar>
              <w:top w:w="100" w:type="dxa"/>
              <w:start w:w="120" w:type="dxa"/>
              <w:bottom w:w="100" w:type="dxa"/>
              <w:end w:w="120" w:type="dxa"/>
            </w:tcMar>
            <w:vAlign w:val="center"/>
            <w:shd w:fill="1F4E78"/>
          </w:tcPr>
          <w:p>
            <w:pPr>
              <w:jc w:val="center"/>
            </w:pPr>
            <w:r>
              <w:rPr>
                <w:rFonts w:ascii="Calibri" w:hAnsi="Calibri"/>
                <w:b/>
                <w:i w:val="0"/>
                <w:color w:val="FFFFFF"/>
                <w:sz w:val="18"/>
              </w:rPr>
              <w:t>Country or territory</w:t>
            </w:r>
          </w:p>
        </w:tc>
        <w:tc>
          <w:tcPr>
            <w:tcW w:type="dxa" w:w="1200"/>
            <w:tcMar>
              <w:top w:w="100" w:type="dxa"/>
              <w:start w:w="120" w:type="dxa"/>
              <w:bottom w:w="100" w:type="dxa"/>
              <w:end w:w="120" w:type="dxa"/>
            </w:tcMar>
            <w:vAlign w:val="center"/>
            <w:shd w:fill="1F4E78"/>
          </w:tcPr>
          <w:p>
            <w:pPr>
              <w:jc w:val="center"/>
            </w:pPr>
            <w:r>
              <w:rPr>
                <w:rFonts w:ascii="Calibri" w:hAnsi="Calibri"/>
                <w:b/>
                <w:i w:val="0"/>
                <w:color w:val="FFFFFF"/>
                <w:sz w:val="18"/>
              </w:rPr>
              <w:t>Airports</w:t>
            </w:r>
          </w:p>
        </w:tc>
        <w:tc>
          <w:tcPr>
            <w:tcW w:type="dxa" w:w="1800"/>
            <w:tcMar>
              <w:top w:w="100" w:type="dxa"/>
              <w:start w:w="120" w:type="dxa"/>
              <w:bottom w:w="100" w:type="dxa"/>
              <w:end w:w="120" w:type="dxa"/>
            </w:tcMar>
            <w:vAlign w:val="center"/>
            <w:shd w:fill="1F4E78"/>
          </w:tcPr>
          <w:p>
            <w:pPr>
              <w:jc w:val="center"/>
            </w:pPr>
            <w:r>
              <w:rPr>
                <w:rFonts w:ascii="Calibri" w:hAnsi="Calibri"/>
                <w:b/>
                <w:i w:val="0"/>
                <w:color w:val="FFFFFF"/>
                <w:sz w:val="18"/>
              </w:rPr>
              <w:t>Movements</w:t>
            </w:r>
          </w:p>
        </w:tc>
        <w:tc>
          <w:tcPr>
            <w:tcW w:type="dxa" w:w="1600"/>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c>
          <w:tcPr>
            <w:tcW w:type="dxa" w:w="3005"/>
            <w:tcMar>
              <w:top w:w="100" w:type="dxa"/>
              <w:start w:w="120" w:type="dxa"/>
              <w:bottom w:w="100" w:type="dxa"/>
              <w:end w:w="120" w:type="dxa"/>
            </w:tcMar>
            <w:vAlign w:val="center"/>
            <w:shd w:fill="1F4E78"/>
          </w:tcPr>
          <w:p>
            <w:pPr>
              <w:jc w:val="center"/>
            </w:pPr>
            <w:r>
              <w:rPr>
                <w:rFonts w:ascii="Calibri" w:hAnsi="Calibri"/>
                <w:b/>
                <w:i w:val="0"/>
                <w:color w:val="FFFFFF"/>
                <w:sz w:val="18"/>
              </w:rPr>
              <w:t>Representation</w:t>
            </w:r>
          </w:p>
        </w:tc>
      </w:tr>
      <w:tr>
        <w:trPr>
          <w:cantSplit/>
        </w:trPr>
        <w:tc>
          <w:tcPr>
            <w:tcW w:type="dxa" w:w="2600"/>
            <w:tcMar>
              <w:top w:w="100" w:type="dxa"/>
              <w:start w:w="120" w:type="dxa"/>
              <w:bottom w:w="100" w:type="dxa"/>
              <w:end w:w="120" w:type="dxa"/>
            </w:tcMar>
            <w:vAlign w:val="center"/>
          </w:tcPr>
          <w:p>
            <w:pPr>
              <w:jc w:val="left"/>
            </w:pPr>
            <w:r>
              <w:rPr>
                <w:rFonts w:ascii="Calibri" w:hAnsi="Calibri"/>
                <w:b w:val="0"/>
                <w:i w:val="0"/>
                <w:color w:val="1F2937"/>
                <w:sz w:val="18"/>
              </w:rPr>
              <w:t>Åland Islands</w:t>
            </w:r>
          </w:p>
        </w:tc>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1</w:t>
            </w:r>
          </w:p>
        </w:tc>
        <w:tc>
          <w:tcPr>
            <w:tcW w:type="dxa" w:w="1800"/>
            <w:tcMar>
              <w:top w:w="100" w:type="dxa"/>
              <w:start w:w="120" w:type="dxa"/>
              <w:bottom w:w="100" w:type="dxa"/>
              <w:end w:w="120" w:type="dxa"/>
            </w:tcMar>
            <w:vAlign w:val="center"/>
          </w:tcPr>
          <w:p>
            <w:pPr>
              <w:jc w:val="center"/>
            </w:pPr>
            <w:r>
              <w:rPr>
                <w:rFonts w:ascii="Calibri" w:hAnsi="Calibri"/>
                <w:b w:val="0"/>
                <w:i w:val="0"/>
                <w:color w:val="1F2937"/>
                <w:sz w:val="18"/>
              </w:rPr>
              <w:t>1,096</w:t>
            </w:r>
          </w:p>
        </w:tc>
        <w:tc>
          <w:tcPr>
            <w:tcW w:type="dxa" w:w="1600"/>
            <w:tcMar>
              <w:top w:w="100" w:type="dxa"/>
              <w:start w:w="120" w:type="dxa"/>
              <w:bottom w:w="100" w:type="dxa"/>
              <w:end w:w="120" w:type="dxa"/>
            </w:tcMar>
            <w:vAlign w:val="center"/>
          </w:tcPr>
          <w:p>
            <w:pPr>
              <w:jc w:val="center"/>
            </w:pPr>
            <w:r>
              <w:rPr>
                <w:rFonts w:ascii="Calibri" w:hAnsi="Calibri"/>
                <w:b w:val="0"/>
                <w:i w:val="0"/>
                <w:color w:val="1F2937"/>
                <w:sz w:val="18"/>
              </w:rPr>
              <w:t>98.7%</w:t>
            </w:r>
          </w:p>
        </w:tc>
        <w:tc>
          <w:tcPr>
            <w:tcW w:type="dxa" w:w="3005"/>
            <w:tcMar>
              <w:top w:w="100" w:type="dxa"/>
              <w:start w:w="120" w:type="dxa"/>
              <w:bottom w:w="100" w:type="dxa"/>
              <w:end w:w="120" w:type="dxa"/>
            </w:tcMar>
            <w:vAlign w:val="center"/>
          </w:tcPr>
          <w:p>
            <w:pPr>
              <w:jc w:val="center"/>
            </w:pPr>
            <w:r>
              <w:rPr>
                <w:rFonts w:ascii="Calibri" w:hAnsi="Calibri"/>
                <w:b w:val="0"/>
                <w:i w:val="0"/>
                <w:color w:val="1F2937"/>
                <w:sz w:val="18"/>
              </w:rPr>
              <w:t>Limited representation</w:t>
            </w:r>
          </w:p>
        </w:tc>
      </w:tr>
      <w:tr>
        <w:trPr>
          <w:cantSplit/>
        </w:trPr>
        <w:tc>
          <w:tcPr>
            <w:tcW w:type="dxa" w:w="2600"/>
            <w:shd w:fill="F7FBFE"/>
            <w:tcMar>
              <w:top w:w="100" w:type="dxa"/>
              <w:start w:w="120" w:type="dxa"/>
              <w:bottom w:w="100" w:type="dxa"/>
              <w:end w:w="120" w:type="dxa"/>
            </w:tcMar>
            <w:vAlign w:val="center"/>
          </w:tcPr>
          <w:p>
            <w:pPr>
              <w:jc w:val="left"/>
            </w:pPr>
            <w:r>
              <w:rPr>
                <w:rFonts w:ascii="Calibri" w:hAnsi="Calibri"/>
                <w:b w:val="0"/>
                <w:i w:val="0"/>
                <w:color w:val="1F2937"/>
                <w:sz w:val="18"/>
              </w:rPr>
              <w:t>Guernsey</w:t>
            </w:r>
          </w:p>
        </w:tc>
        <w:tc>
          <w:tcPr>
            <w:tcW w:type="dxa" w:w="1200"/>
            <w:shd w:fill="F7FBFE"/>
            <w:tcMar>
              <w:top w:w="100" w:type="dxa"/>
              <w:start w:w="120" w:type="dxa"/>
              <w:bottom w:w="100" w:type="dxa"/>
              <w:end w:w="120" w:type="dxa"/>
            </w:tcMar>
            <w:vAlign w:val="center"/>
          </w:tcPr>
          <w:p>
            <w:pPr>
              <w:jc w:val="center"/>
            </w:pPr>
            <w:r>
              <w:rPr>
                <w:rFonts w:ascii="Calibri" w:hAnsi="Calibri"/>
                <w:b w:val="0"/>
                <w:i w:val="0"/>
                <w:color w:val="1F2937"/>
                <w:sz w:val="18"/>
              </w:rPr>
              <w:t>2</w:t>
            </w:r>
          </w:p>
        </w:tc>
        <w:tc>
          <w:tcPr>
            <w:tcW w:type="dxa" w:w="1800"/>
            <w:shd w:fill="F7FBFE"/>
            <w:tcMar>
              <w:top w:w="100" w:type="dxa"/>
              <w:start w:w="120" w:type="dxa"/>
              <w:bottom w:w="100" w:type="dxa"/>
              <w:end w:w="120" w:type="dxa"/>
            </w:tcMar>
            <w:vAlign w:val="center"/>
          </w:tcPr>
          <w:p>
            <w:pPr>
              <w:jc w:val="center"/>
            </w:pPr>
            <w:r>
              <w:rPr>
                <w:rFonts w:ascii="Calibri" w:hAnsi="Calibri"/>
                <w:b w:val="0"/>
                <w:i w:val="0"/>
                <w:color w:val="1F2937"/>
                <w:sz w:val="18"/>
              </w:rPr>
              <w:t>14,201</w:t>
            </w:r>
          </w:p>
        </w:tc>
        <w:tc>
          <w:tcPr>
            <w:tcW w:type="dxa" w:w="1600"/>
            <w:shd w:fill="F7FBFE"/>
            <w:tcMar>
              <w:top w:w="100" w:type="dxa"/>
              <w:start w:w="120" w:type="dxa"/>
              <w:bottom w:w="100" w:type="dxa"/>
              <w:end w:w="120" w:type="dxa"/>
            </w:tcMar>
            <w:vAlign w:val="center"/>
          </w:tcPr>
          <w:p>
            <w:pPr>
              <w:jc w:val="center"/>
            </w:pPr>
            <w:r>
              <w:rPr>
                <w:rFonts w:ascii="Calibri" w:hAnsi="Calibri"/>
                <w:b w:val="0"/>
                <w:i w:val="0"/>
                <w:color w:val="1F2937"/>
                <w:sz w:val="18"/>
              </w:rPr>
              <w:t>96.9%</w:t>
            </w:r>
          </w:p>
        </w:tc>
        <w:tc>
          <w:tcPr>
            <w:tcW w:type="dxa" w:w="3005"/>
            <w:shd w:fill="F7FBFE"/>
            <w:tcMar>
              <w:top w:w="100" w:type="dxa"/>
              <w:start w:w="120" w:type="dxa"/>
              <w:bottom w:w="100" w:type="dxa"/>
              <w:end w:w="120" w:type="dxa"/>
            </w:tcMar>
            <w:vAlign w:val="center"/>
          </w:tcPr>
          <w:p>
            <w:pPr>
              <w:jc w:val="center"/>
            </w:pPr>
            <w:r>
              <w:rPr>
                <w:rFonts w:ascii="Calibri" w:hAnsi="Calibri"/>
                <w:b w:val="0"/>
                <w:i w:val="0"/>
                <w:color w:val="1F2937"/>
                <w:sz w:val="18"/>
              </w:rPr>
              <w:t>Multiple airports</w:t>
            </w:r>
          </w:p>
        </w:tc>
      </w:tr>
      <w:tr>
        <w:trPr>
          <w:cantSplit/>
        </w:trPr>
        <w:tc>
          <w:tcPr>
            <w:tcW w:type="dxa" w:w="2600"/>
            <w:tcMar>
              <w:top w:w="100" w:type="dxa"/>
              <w:start w:w="120" w:type="dxa"/>
              <w:bottom w:w="100" w:type="dxa"/>
              <w:end w:w="120" w:type="dxa"/>
            </w:tcMar>
            <w:vAlign w:val="center"/>
          </w:tcPr>
          <w:p>
            <w:pPr>
              <w:jc w:val="left"/>
            </w:pPr>
            <w:r>
              <w:rPr>
                <w:rFonts w:ascii="Calibri" w:hAnsi="Calibri"/>
                <w:b w:val="0"/>
                <w:i w:val="0"/>
                <w:color w:val="1F2937"/>
                <w:sz w:val="18"/>
              </w:rPr>
              <w:t>Norway</w:t>
            </w:r>
          </w:p>
        </w:tc>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46</w:t>
            </w:r>
          </w:p>
        </w:tc>
        <w:tc>
          <w:tcPr>
            <w:tcW w:type="dxa" w:w="1800"/>
            <w:tcMar>
              <w:top w:w="100" w:type="dxa"/>
              <w:start w:w="120" w:type="dxa"/>
              <w:bottom w:w="100" w:type="dxa"/>
              <w:end w:w="120" w:type="dxa"/>
            </w:tcMar>
            <w:vAlign w:val="center"/>
          </w:tcPr>
          <w:p>
            <w:pPr>
              <w:jc w:val="center"/>
            </w:pPr>
            <w:r>
              <w:rPr>
                <w:rFonts w:ascii="Calibri" w:hAnsi="Calibri"/>
                <w:b w:val="0"/>
                <w:i w:val="0"/>
                <w:color w:val="1F2937"/>
                <w:sz w:val="18"/>
              </w:rPr>
              <w:t>430,372</w:t>
            </w:r>
          </w:p>
        </w:tc>
        <w:tc>
          <w:tcPr>
            <w:tcW w:type="dxa" w:w="1600"/>
            <w:tcMar>
              <w:top w:w="100" w:type="dxa"/>
              <w:start w:w="120" w:type="dxa"/>
              <w:bottom w:w="100" w:type="dxa"/>
              <w:end w:w="120" w:type="dxa"/>
            </w:tcMar>
            <w:vAlign w:val="center"/>
          </w:tcPr>
          <w:p>
            <w:pPr>
              <w:jc w:val="center"/>
            </w:pPr>
            <w:r>
              <w:rPr>
                <w:rFonts w:ascii="Calibri" w:hAnsi="Calibri"/>
                <w:b w:val="0"/>
                <w:i w:val="0"/>
                <w:color w:val="1F2937"/>
                <w:sz w:val="18"/>
              </w:rPr>
              <w:t>94.9%</w:t>
            </w:r>
          </w:p>
        </w:tc>
        <w:tc>
          <w:tcPr>
            <w:tcW w:type="dxa" w:w="3005"/>
            <w:tcMar>
              <w:top w:w="100" w:type="dxa"/>
              <w:start w:w="120" w:type="dxa"/>
              <w:bottom w:w="100" w:type="dxa"/>
              <w:end w:w="120" w:type="dxa"/>
            </w:tcMar>
            <w:vAlign w:val="center"/>
          </w:tcPr>
          <w:p>
            <w:pPr>
              <w:jc w:val="center"/>
            </w:pPr>
            <w:r>
              <w:rPr>
                <w:rFonts w:ascii="Calibri" w:hAnsi="Calibri"/>
                <w:b w:val="0"/>
                <w:i w:val="0"/>
                <w:color w:val="1F2937"/>
                <w:sz w:val="18"/>
              </w:rPr>
              <w:t>Multiple airports</w:t>
            </w:r>
          </w:p>
        </w:tc>
      </w:tr>
      <w:tr>
        <w:trPr>
          <w:cantSplit/>
        </w:trPr>
        <w:tc>
          <w:tcPr>
            <w:tcW w:type="dxa" w:w="2600"/>
            <w:shd w:fill="F7FBFE"/>
            <w:tcMar>
              <w:top w:w="100" w:type="dxa"/>
              <w:start w:w="120" w:type="dxa"/>
              <w:bottom w:w="100" w:type="dxa"/>
              <w:end w:w="120" w:type="dxa"/>
            </w:tcMar>
            <w:vAlign w:val="center"/>
          </w:tcPr>
          <w:p>
            <w:pPr>
              <w:jc w:val="left"/>
            </w:pPr>
            <w:r>
              <w:rPr>
                <w:rFonts w:ascii="Calibri" w:hAnsi="Calibri"/>
                <w:b w:val="0"/>
                <w:i w:val="0"/>
                <w:color w:val="1F2937"/>
                <w:sz w:val="18"/>
              </w:rPr>
              <w:t>Canada</w:t>
            </w:r>
          </w:p>
        </w:tc>
        <w:tc>
          <w:tcPr>
            <w:tcW w:type="dxa" w:w="1200"/>
            <w:shd w:fill="F7FBFE"/>
            <w:tcMar>
              <w:top w:w="100" w:type="dxa"/>
              <w:start w:w="120" w:type="dxa"/>
              <w:bottom w:w="100" w:type="dxa"/>
              <w:end w:w="120" w:type="dxa"/>
            </w:tcMar>
            <w:vAlign w:val="center"/>
          </w:tcPr>
          <w:p>
            <w:pPr>
              <w:jc w:val="center"/>
            </w:pPr>
            <w:r>
              <w:rPr>
                <w:rFonts w:ascii="Calibri" w:hAnsi="Calibri"/>
                <w:b w:val="0"/>
                <w:i w:val="0"/>
                <w:color w:val="1F2937"/>
                <w:sz w:val="18"/>
              </w:rPr>
              <w:t>16</w:t>
            </w:r>
          </w:p>
        </w:tc>
        <w:tc>
          <w:tcPr>
            <w:tcW w:type="dxa" w:w="1800"/>
            <w:shd w:fill="F7FBFE"/>
            <w:tcMar>
              <w:top w:w="100" w:type="dxa"/>
              <w:start w:w="120" w:type="dxa"/>
              <w:bottom w:w="100" w:type="dxa"/>
              <w:end w:w="120" w:type="dxa"/>
            </w:tcMar>
            <w:vAlign w:val="center"/>
          </w:tcPr>
          <w:p>
            <w:pPr>
              <w:jc w:val="center"/>
            </w:pPr>
            <w:r>
              <w:rPr>
                <w:rFonts w:ascii="Calibri" w:hAnsi="Calibri"/>
                <w:b w:val="0"/>
                <w:i w:val="0"/>
                <w:color w:val="1F2937"/>
                <w:sz w:val="18"/>
              </w:rPr>
              <w:t>39,776</w:t>
            </w:r>
          </w:p>
        </w:tc>
        <w:tc>
          <w:tcPr>
            <w:tcW w:type="dxa" w:w="1600"/>
            <w:shd w:fill="F7FBFE"/>
            <w:tcMar>
              <w:top w:w="100" w:type="dxa"/>
              <w:start w:w="120" w:type="dxa"/>
              <w:bottom w:w="100" w:type="dxa"/>
              <w:end w:w="120" w:type="dxa"/>
            </w:tcMar>
            <w:vAlign w:val="center"/>
          </w:tcPr>
          <w:p>
            <w:pPr>
              <w:jc w:val="center"/>
            </w:pPr>
            <w:r>
              <w:rPr>
                <w:rFonts w:ascii="Calibri" w:hAnsi="Calibri"/>
                <w:b w:val="0"/>
                <w:i w:val="0"/>
                <w:color w:val="1F2937"/>
                <w:sz w:val="18"/>
              </w:rPr>
              <w:t>38.5%</w:t>
            </w:r>
          </w:p>
        </w:tc>
        <w:tc>
          <w:tcPr>
            <w:tcW w:type="dxa" w:w="3005"/>
            <w:shd w:fill="F7FBFE"/>
            <w:tcMar>
              <w:top w:w="100" w:type="dxa"/>
              <w:start w:w="120" w:type="dxa"/>
              <w:bottom w:w="100" w:type="dxa"/>
              <w:end w:w="120" w:type="dxa"/>
            </w:tcMar>
            <w:vAlign w:val="center"/>
          </w:tcPr>
          <w:p>
            <w:pPr>
              <w:jc w:val="center"/>
            </w:pPr>
            <w:r>
              <w:rPr>
                <w:rFonts w:ascii="Calibri" w:hAnsi="Calibri"/>
                <w:b w:val="0"/>
                <w:i w:val="0"/>
                <w:color w:val="1F2937"/>
                <w:sz w:val="18"/>
              </w:rPr>
              <w:t>Multiple airports</w:t>
            </w:r>
          </w:p>
        </w:tc>
      </w:tr>
      <w:tr>
        <w:trPr>
          <w:cantSplit/>
        </w:trPr>
        <w:tc>
          <w:tcPr>
            <w:tcW w:type="dxa" w:w="2600"/>
            <w:tcMar>
              <w:top w:w="100" w:type="dxa"/>
              <w:start w:w="120" w:type="dxa"/>
              <w:bottom w:w="100" w:type="dxa"/>
              <w:end w:w="120" w:type="dxa"/>
            </w:tcMar>
            <w:vAlign w:val="center"/>
          </w:tcPr>
          <w:p>
            <w:pPr>
              <w:jc w:val="left"/>
            </w:pPr>
            <w:r>
              <w:rPr>
                <w:rFonts w:ascii="Calibri" w:hAnsi="Calibri"/>
                <w:b w:val="0"/>
                <w:i w:val="0"/>
                <w:color w:val="1F2937"/>
                <w:sz w:val="18"/>
              </w:rPr>
              <w:t>Saudi Arabia</w:t>
            </w:r>
          </w:p>
        </w:tc>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10</w:t>
            </w:r>
          </w:p>
        </w:tc>
        <w:tc>
          <w:tcPr>
            <w:tcW w:type="dxa" w:w="1800"/>
            <w:tcMar>
              <w:top w:w="100" w:type="dxa"/>
              <w:start w:w="120" w:type="dxa"/>
              <w:bottom w:w="100" w:type="dxa"/>
              <w:end w:w="120" w:type="dxa"/>
            </w:tcMar>
            <w:vAlign w:val="center"/>
          </w:tcPr>
          <w:p>
            <w:pPr>
              <w:jc w:val="center"/>
            </w:pPr>
            <w:r>
              <w:rPr>
                <w:rFonts w:ascii="Calibri" w:hAnsi="Calibri"/>
                <w:b w:val="0"/>
                <w:i w:val="0"/>
                <w:color w:val="1F2937"/>
                <w:sz w:val="18"/>
              </w:rPr>
              <w:t>24,362</w:t>
            </w:r>
          </w:p>
        </w:tc>
        <w:tc>
          <w:tcPr>
            <w:tcW w:type="dxa" w:w="1600"/>
            <w:tcMar>
              <w:top w:w="100" w:type="dxa"/>
              <w:start w:w="120" w:type="dxa"/>
              <w:bottom w:w="100" w:type="dxa"/>
              <w:end w:w="120" w:type="dxa"/>
            </w:tcMar>
            <w:vAlign w:val="center"/>
          </w:tcPr>
          <w:p>
            <w:pPr>
              <w:jc w:val="center"/>
            </w:pPr>
            <w:r>
              <w:rPr>
                <w:rFonts w:ascii="Calibri" w:hAnsi="Calibri"/>
                <w:b w:val="0"/>
                <w:i w:val="0"/>
                <w:color w:val="1F2937"/>
                <w:sz w:val="18"/>
              </w:rPr>
              <w:t>49.0%</w:t>
            </w:r>
          </w:p>
        </w:tc>
        <w:tc>
          <w:tcPr>
            <w:tcW w:type="dxa" w:w="3005"/>
            <w:tcMar>
              <w:top w:w="100" w:type="dxa"/>
              <w:start w:w="120" w:type="dxa"/>
              <w:bottom w:w="100" w:type="dxa"/>
              <w:end w:w="120" w:type="dxa"/>
            </w:tcMar>
            <w:vAlign w:val="center"/>
          </w:tcPr>
          <w:p>
            <w:pPr>
              <w:jc w:val="center"/>
            </w:pPr>
            <w:r>
              <w:rPr>
                <w:rFonts w:ascii="Calibri" w:hAnsi="Calibri"/>
                <w:b w:val="0"/>
                <w:i w:val="0"/>
                <w:color w:val="1F2937"/>
                <w:sz w:val="18"/>
              </w:rPr>
              <w:t>Multiple airports</w:t>
            </w:r>
          </w:p>
        </w:tc>
      </w:tr>
      <w:tr>
        <w:trPr>
          <w:cantSplit/>
        </w:trPr>
        <w:tc>
          <w:tcPr>
            <w:tcW w:type="dxa" w:w="2600"/>
            <w:shd w:fill="F7FBFE"/>
            <w:tcMar>
              <w:top w:w="100" w:type="dxa"/>
              <w:start w:w="120" w:type="dxa"/>
              <w:bottom w:w="100" w:type="dxa"/>
              <w:end w:w="120" w:type="dxa"/>
            </w:tcMar>
            <w:vAlign w:val="center"/>
          </w:tcPr>
          <w:p>
            <w:pPr>
              <w:jc w:val="left"/>
            </w:pPr>
            <w:r>
              <w:rPr>
                <w:rFonts w:ascii="Calibri" w:hAnsi="Calibri"/>
                <w:b w:val="0"/>
                <w:i w:val="0"/>
                <w:color w:val="1F2937"/>
                <w:sz w:val="18"/>
              </w:rPr>
              <w:t>Guadeloupe</w:t>
            </w:r>
          </w:p>
        </w:tc>
        <w:tc>
          <w:tcPr>
            <w:tcW w:type="dxa" w:w="1200"/>
            <w:shd w:fill="F7FBFE"/>
            <w:tcMar>
              <w:top w:w="100" w:type="dxa"/>
              <w:start w:w="120" w:type="dxa"/>
              <w:bottom w:w="100" w:type="dxa"/>
              <w:end w:w="120" w:type="dxa"/>
            </w:tcMar>
            <w:vAlign w:val="center"/>
          </w:tcPr>
          <w:p>
            <w:pPr>
              <w:jc w:val="center"/>
            </w:pPr>
            <w:r>
              <w:rPr>
                <w:rFonts w:ascii="Calibri" w:hAnsi="Calibri"/>
                <w:b w:val="0"/>
                <w:i w:val="0"/>
                <w:color w:val="1F2937"/>
                <w:sz w:val="18"/>
              </w:rPr>
              <w:t>1</w:t>
            </w:r>
          </w:p>
        </w:tc>
        <w:tc>
          <w:tcPr>
            <w:tcW w:type="dxa" w:w="1800"/>
            <w:shd w:fill="F7FBFE"/>
            <w:tcMar>
              <w:top w:w="100" w:type="dxa"/>
              <w:start w:w="120" w:type="dxa"/>
              <w:bottom w:w="100" w:type="dxa"/>
              <w:end w:w="120" w:type="dxa"/>
            </w:tcMar>
            <w:vAlign w:val="center"/>
          </w:tcPr>
          <w:p>
            <w:pPr>
              <w:jc w:val="center"/>
            </w:pPr>
            <w:r>
              <w:rPr>
                <w:rFonts w:ascii="Calibri" w:hAnsi="Calibri"/>
                <w:b w:val="0"/>
                <w:i w:val="0"/>
                <w:color w:val="1F2937"/>
                <w:sz w:val="18"/>
              </w:rPr>
              <w:t>2,501</w:t>
            </w:r>
          </w:p>
        </w:tc>
        <w:tc>
          <w:tcPr>
            <w:tcW w:type="dxa" w:w="1600"/>
            <w:shd w:fill="F7FBFE"/>
            <w:tcMar>
              <w:top w:w="100" w:type="dxa"/>
              <w:start w:w="120" w:type="dxa"/>
              <w:bottom w:w="100" w:type="dxa"/>
              <w:end w:w="120" w:type="dxa"/>
            </w:tcMar>
            <w:vAlign w:val="center"/>
          </w:tcPr>
          <w:p>
            <w:pPr>
              <w:jc w:val="center"/>
            </w:pPr>
            <w:r>
              <w:rPr>
                <w:rFonts w:ascii="Calibri" w:hAnsi="Calibri"/>
                <w:b w:val="0"/>
                <w:i w:val="0"/>
                <w:color w:val="1F2937"/>
                <w:sz w:val="18"/>
              </w:rPr>
              <w:t>49.0%</w:t>
            </w:r>
          </w:p>
        </w:tc>
        <w:tc>
          <w:tcPr>
            <w:tcW w:type="dxa" w:w="3005"/>
            <w:shd w:fill="F7FBFE"/>
            <w:tcMar>
              <w:top w:w="100" w:type="dxa"/>
              <w:start w:w="120" w:type="dxa"/>
              <w:bottom w:w="100" w:type="dxa"/>
              <w:end w:w="120" w:type="dxa"/>
            </w:tcMar>
            <w:vAlign w:val="center"/>
          </w:tcPr>
          <w:p>
            <w:pPr>
              <w:jc w:val="center"/>
            </w:pPr>
            <w:r>
              <w:rPr>
                <w:rFonts w:ascii="Calibri" w:hAnsi="Calibri"/>
                <w:b w:val="0"/>
                <w:i w:val="0"/>
                <w:color w:val="1F2937"/>
                <w:sz w:val="18"/>
              </w:rPr>
              <w:t>Limited representation</w:t>
            </w:r>
          </w:p>
        </w:tc>
      </w:tr>
    </w:tbl>
    <w:p>
      <w:pPr>
        <w:spacing w:after="20"/>
      </w:pP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Jurisdiction interpretation  </w:t>
            </w:r>
            <w:r>
              <w:rPr>
                <w:rFonts w:ascii="Calibri" w:hAnsi="Calibri"/>
                <w:b w:val="0"/>
                <w:i w:val="0"/>
                <w:color w:val="1F2937"/>
                <w:sz w:val="22"/>
              </w:rPr>
              <w:t>The source uses ISO country-or-territory codes. Guernsey is a self-governing Crown Dependency, not a sovereign country. Aland Islands is also retained as an ISO-coded autonomous territory and leads the formal ranking with only one airport and 1,096 movements, so it is a limited screening result. Norway is the strongest broad, high-volume result at 94.9% OTP15. Canada is the weakest jurisdiction in the displayed bottom group for this selected international network population, not for all domestic Canadian aviation.</w:t>
            </w:r>
          </w:p>
        </w:tc>
      </w:tr>
    </w:tbl>
    <w:p>
      <w:pPr>
        <w:spacing w:after="20"/>
      </w:pPr>
    </w:p>
    <w:p>
      <w:pPr>
        <w:pStyle w:val="Heading1"/>
        <w:pageBreakBefore/>
      </w:pPr>
      <w:r>
        <w:t>4. Operating carriers and routes</w:t>
      </w:r>
    </w:p>
    <w:p>
      <w:r>
        <w:rPr>
          <w:rFonts w:ascii="Calibri" w:hAnsi="Calibri"/>
          <w:b w:val="0"/>
          <w:i w:val="0"/>
          <w:color w:val="1F2937"/>
          <w:sz w:val="24"/>
        </w:rPr>
        <w:t>AC Operator is the three-letter operating-carrier code, not necessarily the marketing airline shown to passengers. Unknown code ZZZ is excluded from named rankings.</w:t>
      </w:r>
    </w:p>
    <w:p>
      <w:pPr>
        <w:keepNext/>
        <w:jc w:val="center"/>
      </w:pPr>
      <w:r>
        <w:drawing>
          <wp:inline xmlns:a="http://schemas.openxmlformats.org/drawingml/2006/main" xmlns:pic="http://schemas.openxmlformats.org/drawingml/2006/picture">
            <wp:extent cx="6300000" cy="3128201"/>
            <wp:docPr id="9" name="Picture 9" descr="Figure 8. Descriptive operating-carrier OTP15 with 95% Wilson intervals."/>
            <wp:cNvGraphicFramePr>
              <a:graphicFrameLocks noChangeAspect="1"/>
            </wp:cNvGraphicFramePr>
            <a:graphic>
              <a:graphicData uri="http://schemas.openxmlformats.org/drawingml/2006/picture">
                <pic:pic>
                  <pic:nvPicPr>
                    <pic:cNvPr id="0" name="carrier_reliability_rankings.png"/>
                    <pic:cNvPicPr/>
                  </pic:nvPicPr>
                  <pic:blipFill>
                    <a:blip r:embed="rId19"/>
                    <a:stretch>
                      <a:fillRect/>
                    </a:stretch>
                  </pic:blipFill>
                  <pic:spPr>
                    <a:xfrm>
                      <a:off x="0" y="0"/>
                      <a:ext cx="6300000" cy="3128201"/>
                    </a:xfrm>
                    <a:prstGeom prst="rect"/>
                  </pic:spPr>
                </pic:pic>
              </a:graphicData>
            </a:graphic>
          </wp:inline>
        </w:drawing>
      </w:r>
    </w:p>
    <w:p>
      <w:pPr>
        <w:spacing w:before="40" w:after="40"/>
        <w:jc w:val="center"/>
      </w:pPr>
      <w:r>
        <w:rPr>
          <w:rFonts w:ascii="Calibri" w:hAnsi="Calibri"/>
          <w:b w:val="0"/>
          <w:i/>
          <w:color w:val="667085"/>
          <w:sz w:val="18"/>
        </w:rPr>
        <w:t>Figure 8. Descriptive operating-carrier OTP15 with 95% Wilson intervals.</w:t>
      </w:r>
    </w:p>
    <w:p>
      <w:pPr>
        <w:spacing w:before="0" w:after="120"/>
        <w:jc w:val="center"/>
      </w:pPr>
      <w:r>
        <w:rPr>
          <w:rFonts w:ascii="Calibri" w:hAnsi="Calibri"/>
          <w:b w:val="0"/>
          <w:i w:val="0"/>
          <w:color w:val="667085"/>
          <w:sz w:val="17"/>
        </w:rPr>
        <w:t>OTP15 uses arrival delay. Eligibility: at least 1,000 flights and three periods; raw rankings are not adjusted for network mix.</w:t>
      </w:r>
    </w:p>
    <w:tbl>
      <w:tblPr>
        <w:tblW w:type="dxa" w:w="10205"/>
        <w:tblLayout w:type="fixed"/>
        <w:tblLook w:firstColumn="1" w:firstRow="1" w:lastColumn="0" w:lastRow="0" w:noHBand="0" w:noVBand="1" w:val="04A0"/>
        <w:jc w:val="left"/>
        <w:tblInd w:w="120" w:type="dxa"/>
      </w:tblPr>
      <w:tblGrid>
        <w:gridCol w:w="3500"/>
        <w:gridCol w:w="1500"/>
        <w:gridCol w:w="1500"/>
        <w:gridCol w:w="1800"/>
        <w:gridCol w:w="1905"/>
      </w:tblGrid>
      <w:tr>
        <w:trPr>
          <w:tblHeader/>
          <w:cantSplit/>
        </w:trPr>
        <w:tc>
          <w:tcPr>
            <w:tcW w:type="dxa" w:w="3500"/>
            <w:tcMar>
              <w:top w:w="100" w:type="dxa"/>
              <w:start w:w="120" w:type="dxa"/>
              <w:bottom w:w="100" w:type="dxa"/>
              <w:end w:w="120" w:type="dxa"/>
            </w:tcMar>
            <w:vAlign w:val="center"/>
            <w:shd w:fill="1F4E78"/>
          </w:tcPr>
          <w:p>
            <w:pPr>
              <w:jc w:val="center"/>
            </w:pPr>
            <w:r>
              <w:rPr>
                <w:rFonts w:ascii="Calibri" w:hAnsi="Calibri"/>
                <w:b/>
                <w:i w:val="0"/>
                <w:color w:val="FFFFFF"/>
                <w:sz w:val="18"/>
              </w:rPr>
              <w:t>Operating carrier</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Flights</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c>
          <w:tcPr>
            <w:tcW w:type="dxa" w:w="1800"/>
            <w:tcMar>
              <w:top w:w="100" w:type="dxa"/>
              <w:start w:w="120" w:type="dxa"/>
              <w:bottom w:w="100" w:type="dxa"/>
              <w:end w:w="120" w:type="dxa"/>
            </w:tcMar>
            <w:vAlign w:val="center"/>
            <w:shd w:fill="1F4E78"/>
          </w:tcPr>
          <w:p>
            <w:pPr>
              <w:jc w:val="center"/>
            </w:pPr>
            <w:r>
              <w:rPr>
                <w:rFonts w:ascii="Calibri" w:hAnsi="Calibri"/>
                <w:b/>
                <w:i w:val="0"/>
                <w:color w:val="FFFFFF"/>
                <w:sz w:val="18"/>
              </w:rPr>
              <w:t>Wilson bound</w:t>
            </w:r>
          </w:p>
        </w:tc>
        <w:tc>
          <w:tcPr>
            <w:tcW w:type="dxa" w:w="1905"/>
            <w:tcMar>
              <w:top w:w="100" w:type="dxa"/>
              <w:start w:w="120" w:type="dxa"/>
              <w:bottom w:w="100" w:type="dxa"/>
              <w:end w:w="120" w:type="dxa"/>
            </w:tcMar>
            <w:vAlign w:val="center"/>
            <w:shd w:fill="1F4E78"/>
          </w:tcPr>
          <w:p>
            <w:pPr>
              <w:jc w:val="center"/>
            </w:pPr>
            <w:r>
              <w:rPr>
                <w:rFonts w:ascii="Calibri" w:hAnsi="Calibri"/>
                <w:b/>
                <w:i w:val="0"/>
                <w:color w:val="FFFFFF"/>
                <w:sz w:val="18"/>
              </w:rPr>
              <w:t>Screen</w:t>
            </w:r>
          </w:p>
        </w:tc>
      </w:tr>
      <w:tr>
        <w:trPr>
          <w:cantSplit/>
        </w:trPr>
        <w:tc>
          <w:tcPr>
            <w:tcW w:type="dxa" w:w="3500"/>
            <w:tcMar>
              <w:top w:w="100" w:type="dxa"/>
              <w:start w:w="120" w:type="dxa"/>
              <w:bottom w:w="100" w:type="dxa"/>
              <w:end w:w="120" w:type="dxa"/>
            </w:tcMar>
            <w:vAlign w:val="center"/>
          </w:tcPr>
          <w:p>
            <w:pPr>
              <w:jc w:val="left"/>
            </w:pPr>
            <w:r>
              <w:rPr>
                <w:rFonts w:ascii="Calibri" w:hAnsi="Calibri"/>
                <w:b w:val="0"/>
                <w:i w:val="0"/>
                <w:color w:val="1F2937"/>
                <w:sz w:val="18"/>
              </w:rPr>
              <w:t>JOON (JON)</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2,275</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99.3%</w:t>
            </w:r>
          </w:p>
        </w:tc>
        <w:tc>
          <w:tcPr>
            <w:tcW w:type="dxa" w:w="1800"/>
            <w:tcMar>
              <w:top w:w="100" w:type="dxa"/>
              <w:start w:w="120" w:type="dxa"/>
              <w:bottom w:w="100" w:type="dxa"/>
              <w:end w:w="120" w:type="dxa"/>
            </w:tcMar>
            <w:vAlign w:val="center"/>
          </w:tcPr>
          <w:p>
            <w:pPr>
              <w:jc w:val="center"/>
            </w:pPr>
            <w:r>
              <w:rPr>
                <w:rFonts w:ascii="Calibri" w:hAnsi="Calibri"/>
                <w:b w:val="0"/>
                <w:i w:val="0"/>
                <w:color w:val="1F2937"/>
                <w:sz w:val="18"/>
              </w:rPr>
              <w:t>98.9%</w:t>
            </w:r>
          </w:p>
        </w:tc>
        <w:tc>
          <w:tcPr>
            <w:tcW w:type="dxa" w:w="1905"/>
            <w:tcMar>
              <w:top w:w="100" w:type="dxa"/>
              <w:start w:w="120" w:type="dxa"/>
              <w:bottom w:w="100" w:type="dxa"/>
              <w:end w:w="120" w:type="dxa"/>
            </w:tcMar>
            <w:vAlign w:val="center"/>
          </w:tcPr>
          <w:p>
            <w:pPr>
              <w:jc w:val="center"/>
            </w:pPr>
            <w:r>
              <w:rPr>
                <w:rFonts w:ascii="Calibri" w:hAnsi="Calibri"/>
                <w:b w:val="0"/>
                <w:i w:val="0"/>
                <w:color w:val="1F2937"/>
                <w:sz w:val="18"/>
              </w:rPr>
              <w:t>Top 3</w:t>
            </w:r>
          </w:p>
        </w:tc>
      </w:tr>
      <w:tr>
        <w:trPr>
          <w:cantSplit/>
        </w:trPr>
        <w:tc>
          <w:tcPr>
            <w:tcW w:type="dxa" w:w="3500"/>
            <w:shd w:fill="F7FBFE"/>
            <w:tcMar>
              <w:top w:w="100" w:type="dxa"/>
              <w:start w:w="120" w:type="dxa"/>
              <w:bottom w:w="100" w:type="dxa"/>
              <w:end w:w="120" w:type="dxa"/>
            </w:tcMar>
            <w:vAlign w:val="center"/>
          </w:tcPr>
          <w:p>
            <w:pPr>
              <w:jc w:val="left"/>
            </w:pPr>
            <w:r>
              <w:rPr>
                <w:rFonts w:ascii="Calibri" w:hAnsi="Calibri"/>
                <w:b w:val="0"/>
                <w:i w:val="0"/>
                <w:color w:val="1F2937"/>
                <w:sz w:val="18"/>
              </w:rPr>
              <w:t>WIDEROE'S FLYVESELSKAP A/S (WIF)</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88,523</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98.5%</w:t>
            </w:r>
          </w:p>
        </w:tc>
        <w:tc>
          <w:tcPr>
            <w:tcW w:type="dxa" w:w="1800"/>
            <w:shd w:fill="F7FBFE"/>
            <w:tcMar>
              <w:top w:w="100" w:type="dxa"/>
              <w:start w:w="120" w:type="dxa"/>
              <w:bottom w:w="100" w:type="dxa"/>
              <w:end w:w="120" w:type="dxa"/>
            </w:tcMar>
            <w:vAlign w:val="center"/>
          </w:tcPr>
          <w:p>
            <w:pPr>
              <w:jc w:val="center"/>
            </w:pPr>
            <w:r>
              <w:rPr>
                <w:rFonts w:ascii="Calibri" w:hAnsi="Calibri"/>
                <w:b w:val="0"/>
                <w:i w:val="0"/>
                <w:color w:val="1F2937"/>
                <w:sz w:val="18"/>
              </w:rPr>
              <w:t>98.4%</w:t>
            </w:r>
          </w:p>
        </w:tc>
        <w:tc>
          <w:tcPr>
            <w:tcW w:type="dxa" w:w="1905"/>
            <w:shd w:fill="F7FBFE"/>
            <w:tcMar>
              <w:top w:w="100" w:type="dxa"/>
              <w:start w:w="120" w:type="dxa"/>
              <w:bottom w:w="100" w:type="dxa"/>
              <w:end w:w="120" w:type="dxa"/>
            </w:tcMar>
            <w:vAlign w:val="center"/>
          </w:tcPr>
          <w:p>
            <w:pPr>
              <w:jc w:val="center"/>
            </w:pPr>
            <w:r>
              <w:rPr>
                <w:rFonts w:ascii="Calibri" w:hAnsi="Calibri"/>
                <w:b w:val="0"/>
                <w:i w:val="0"/>
                <w:color w:val="1F2937"/>
                <w:sz w:val="18"/>
              </w:rPr>
              <w:t>Top 3</w:t>
            </w:r>
          </w:p>
        </w:tc>
      </w:tr>
      <w:tr>
        <w:trPr>
          <w:cantSplit/>
        </w:trPr>
        <w:tc>
          <w:tcPr>
            <w:tcW w:type="dxa" w:w="3500"/>
            <w:tcMar>
              <w:top w:w="100" w:type="dxa"/>
              <w:start w:w="120" w:type="dxa"/>
              <w:bottom w:w="100" w:type="dxa"/>
              <w:end w:w="120" w:type="dxa"/>
            </w:tcMar>
            <w:vAlign w:val="center"/>
          </w:tcPr>
          <w:p>
            <w:pPr>
              <w:jc w:val="left"/>
            </w:pPr>
            <w:r>
              <w:rPr>
                <w:rFonts w:ascii="Calibri" w:hAnsi="Calibri"/>
                <w:b w:val="0"/>
                <w:i w:val="0"/>
                <w:color w:val="1F2937"/>
                <w:sz w:val="18"/>
              </w:rPr>
              <w:t>BRAATHENS REGIONAL AIRWAYS AB (BRX)</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15,543</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98.0%</w:t>
            </w:r>
          </w:p>
        </w:tc>
        <w:tc>
          <w:tcPr>
            <w:tcW w:type="dxa" w:w="1800"/>
            <w:tcMar>
              <w:top w:w="100" w:type="dxa"/>
              <w:start w:w="120" w:type="dxa"/>
              <w:bottom w:w="100" w:type="dxa"/>
              <w:end w:w="120" w:type="dxa"/>
            </w:tcMar>
            <w:vAlign w:val="center"/>
          </w:tcPr>
          <w:p>
            <w:pPr>
              <w:jc w:val="center"/>
            </w:pPr>
            <w:r>
              <w:rPr>
                <w:rFonts w:ascii="Calibri" w:hAnsi="Calibri"/>
                <w:b w:val="0"/>
                <w:i w:val="0"/>
                <w:color w:val="1F2937"/>
                <w:sz w:val="18"/>
              </w:rPr>
              <w:t>97.7%</w:t>
            </w:r>
          </w:p>
        </w:tc>
        <w:tc>
          <w:tcPr>
            <w:tcW w:type="dxa" w:w="1905"/>
            <w:tcMar>
              <w:top w:w="100" w:type="dxa"/>
              <w:start w:w="120" w:type="dxa"/>
              <w:bottom w:w="100" w:type="dxa"/>
              <w:end w:w="120" w:type="dxa"/>
            </w:tcMar>
            <w:vAlign w:val="center"/>
          </w:tcPr>
          <w:p>
            <w:pPr>
              <w:jc w:val="center"/>
            </w:pPr>
            <w:r>
              <w:rPr>
                <w:rFonts w:ascii="Calibri" w:hAnsi="Calibri"/>
                <w:b w:val="0"/>
                <w:i w:val="0"/>
                <w:color w:val="1F2937"/>
                <w:sz w:val="18"/>
              </w:rPr>
              <w:t>Top 3</w:t>
            </w:r>
          </w:p>
        </w:tc>
      </w:tr>
      <w:tr>
        <w:trPr>
          <w:cantSplit/>
        </w:trPr>
        <w:tc>
          <w:tcPr>
            <w:tcW w:type="dxa" w:w="3500"/>
            <w:shd w:fill="F7FBFE"/>
            <w:tcMar>
              <w:top w:w="100" w:type="dxa"/>
              <w:start w:w="120" w:type="dxa"/>
              <w:bottom w:w="100" w:type="dxa"/>
              <w:end w:w="120" w:type="dxa"/>
            </w:tcMar>
            <w:vAlign w:val="center"/>
          </w:tcPr>
          <w:p>
            <w:pPr>
              <w:jc w:val="left"/>
            </w:pPr>
            <w:r>
              <w:rPr>
                <w:rFonts w:ascii="Calibri" w:hAnsi="Calibri"/>
                <w:b w:val="0"/>
                <w:i w:val="0"/>
                <w:color w:val="1F2937"/>
                <w:sz w:val="18"/>
              </w:rPr>
              <w:t>AIR CANADA (ACA)</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15,358</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35.0%</w:t>
            </w:r>
          </w:p>
        </w:tc>
        <w:tc>
          <w:tcPr>
            <w:tcW w:type="dxa" w:w="1800"/>
            <w:shd w:fill="F7FBFE"/>
            <w:tcMar>
              <w:top w:w="100" w:type="dxa"/>
              <w:start w:w="120" w:type="dxa"/>
              <w:bottom w:w="100" w:type="dxa"/>
              <w:end w:w="120" w:type="dxa"/>
            </w:tcMar>
            <w:vAlign w:val="center"/>
          </w:tcPr>
          <w:p>
            <w:pPr>
              <w:jc w:val="center"/>
            </w:pPr>
            <w:r>
              <w:rPr>
                <w:rFonts w:ascii="Calibri" w:hAnsi="Calibri"/>
                <w:b w:val="0"/>
                <w:i w:val="0"/>
                <w:color w:val="1F2937"/>
                <w:sz w:val="18"/>
              </w:rPr>
              <w:t>35.8%</w:t>
            </w:r>
          </w:p>
        </w:tc>
        <w:tc>
          <w:tcPr>
            <w:tcW w:type="dxa" w:w="1905"/>
            <w:shd w:fill="F7FBFE"/>
            <w:tcMar>
              <w:top w:w="100" w:type="dxa"/>
              <w:start w:w="120" w:type="dxa"/>
              <w:bottom w:w="100" w:type="dxa"/>
              <w:end w:w="120" w:type="dxa"/>
            </w:tcMar>
            <w:vAlign w:val="center"/>
          </w:tcPr>
          <w:p>
            <w:pPr>
              <w:jc w:val="center"/>
            </w:pPr>
            <w:r>
              <w:rPr>
                <w:rFonts w:ascii="Calibri" w:hAnsi="Calibri"/>
                <w:b w:val="0"/>
                <w:i w:val="0"/>
                <w:color w:val="1F2937"/>
                <w:sz w:val="18"/>
              </w:rPr>
              <w:t>Bottom 3</w:t>
            </w:r>
          </w:p>
        </w:tc>
      </w:tr>
      <w:tr>
        <w:trPr>
          <w:cantSplit/>
        </w:trPr>
        <w:tc>
          <w:tcPr>
            <w:tcW w:type="dxa" w:w="3500"/>
            <w:tcMar>
              <w:top w:w="100" w:type="dxa"/>
              <w:start w:w="120" w:type="dxa"/>
              <w:bottom w:w="100" w:type="dxa"/>
              <w:end w:w="120" w:type="dxa"/>
            </w:tcMar>
            <w:vAlign w:val="center"/>
          </w:tcPr>
          <w:p>
            <w:pPr>
              <w:jc w:val="left"/>
            </w:pPr>
            <w:r>
              <w:rPr>
                <w:rFonts w:ascii="Calibri" w:hAnsi="Calibri"/>
                <w:b w:val="0"/>
                <w:i w:val="0"/>
                <w:color w:val="1F2937"/>
                <w:sz w:val="18"/>
              </w:rPr>
              <w:t>SAUDI ARABIAN AIRLINES (SVA)</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11,940</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38.6%</w:t>
            </w:r>
          </w:p>
        </w:tc>
        <w:tc>
          <w:tcPr>
            <w:tcW w:type="dxa" w:w="1800"/>
            <w:tcMar>
              <w:top w:w="100" w:type="dxa"/>
              <w:start w:w="120" w:type="dxa"/>
              <w:bottom w:w="100" w:type="dxa"/>
              <w:end w:w="120" w:type="dxa"/>
            </w:tcMar>
            <w:vAlign w:val="center"/>
          </w:tcPr>
          <w:p>
            <w:pPr>
              <w:jc w:val="center"/>
            </w:pPr>
            <w:r>
              <w:rPr>
                <w:rFonts w:ascii="Calibri" w:hAnsi="Calibri"/>
                <w:b w:val="0"/>
                <w:i w:val="0"/>
                <w:color w:val="1F2937"/>
                <w:sz w:val="18"/>
              </w:rPr>
              <w:t>39.5%</w:t>
            </w:r>
          </w:p>
        </w:tc>
        <w:tc>
          <w:tcPr>
            <w:tcW w:type="dxa" w:w="1905"/>
            <w:tcMar>
              <w:top w:w="100" w:type="dxa"/>
              <w:start w:w="120" w:type="dxa"/>
              <w:bottom w:w="100" w:type="dxa"/>
              <w:end w:w="120" w:type="dxa"/>
            </w:tcMar>
            <w:vAlign w:val="center"/>
          </w:tcPr>
          <w:p>
            <w:pPr>
              <w:jc w:val="center"/>
            </w:pPr>
            <w:r>
              <w:rPr>
                <w:rFonts w:ascii="Calibri" w:hAnsi="Calibri"/>
                <w:b w:val="0"/>
                <w:i w:val="0"/>
                <w:color w:val="1F2937"/>
                <w:sz w:val="18"/>
              </w:rPr>
              <w:t>Bottom 3</w:t>
            </w:r>
          </w:p>
        </w:tc>
      </w:tr>
      <w:tr>
        <w:trPr>
          <w:cantSplit/>
        </w:trPr>
        <w:tc>
          <w:tcPr>
            <w:tcW w:type="dxa" w:w="3500"/>
            <w:shd w:fill="F7FBFE"/>
            <w:tcMar>
              <w:top w:w="100" w:type="dxa"/>
              <w:start w:w="120" w:type="dxa"/>
              <w:bottom w:w="100" w:type="dxa"/>
              <w:end w:w="120" w:type="dxa"/>
            </w:tcMar>
            <w:vAlign w:val="center"/>
          </w:tcPr>
          <w:p>
            <w:pPr>
              <w:jc w:val="left"/>
            </w:pPr>
            <w:r>
              <w:rPr>
                <w:rFonts w:ascii="Calibri" w:hAnsi="Calibri"/>
                <w:b w:val="0"/>
                <w:i w:val="0"/>
                <w:color w:val="1F2937"/>
                <w:sz w:val="18"/>
              </w:rPr>
              <w:t>AIRBRIDGE CARGO AIRLINES LTD (ABW)</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1,469</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42.2%</w:t>
            </w:r>
          </w:p>
        </w:tc>
        <w:tc>
          <w:tcPr>
            <w:tcW w:type="dxa" w:w="1800"/>
            <w:shd w:fill="F7FBFE"/>
            <w:tcMar>
              <w:top w:w="100" w:type="dxa"/>
              <w:start w:w="120" w:type="dxa"/>
              <w:bottom w:w="100" w:type="dxa"/>
              <w:end w:w="120" w:type="dxa"/>
            </w:tcMar>
            <w:vAlign w:val="center"/>
          </w:tcPr>
          <w:p>
            <w:pPr>
              <w:jc w:val="center"/>
            </w:pPr>
            <w:r>
              <w:rPr>
                <w:rFonts w:ascii="Calibri" w:hAnsi="Calibri"/>
                <w:b w:val="0"/>
                <w:i w:val="0"/>
                <w:color w:val="1F2937"/>
                <w:sz w:val="18"/>
              </w:rPr>
              <w:t>44.7%</w:t>
            </w:r>
          </w:p>
        </w:tc>
        <w:tc>
          <w:tcPr>
            <w:tcW w:type="dxa" w:w="1905"/>
            <w:shd w:fill="F7FBFE"/>
            <w:tcMar>
              <w:top w:w="100" w:type="dxa"/>
              <w:start w:w="120" w:type="dxa"/>
              <w:bottom w:w="100" w:type="dxa"/>
              <w:end w:w="120" w:type="dxa"/>
            </w:tcMar>
            <w:vAlign w:val="center"/>
          </w:tcPr>
          <w:p>
            <w:pPr>
              <w:jc w:val="center"/>
            </w:pPr>
            <w:r>
              <w:rPr>
                <w:rFonts w:ascii="Calibri" w:hAnsi="Calibri"/>
                <w:b w:val="0"/>
                <w:i w:val="0"/>
                <w:color w:val="1F2937"/>
                <w:sz w:val="18"/>
              </w:rPr>
              <w:t>Bottom 3</w:t>
            </w:r>
          </w:p>
        </w:tc>
      </w:tr>
    </w:tbl>
    <w:p>
      <w:pPr>
        <w:spacing w:after="20"/>
      </w:pP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ED7D31"/>
                <w:sz w:val="22"/>
              </w:rPr>
              <w:t xml:space="preserve">Fair airline comparison  </w:t>
            </w:r>
            <w:r>
              <w:rPr>
                <w:rFonts w:ascii="Calibri" w:hAnsi="Calibri"/>
                <w:b w:val="0"/>
                <w:i w:val="0"/>
                <w:color w:val="1F2937"/>
                <w:sz w:val="22"/>
              </w:rPr>
              <w:t>The agreed adjusted OTP15 model should compare operating carriers after controlling route, origin, destination, scheduled duration, hour and period. Only carriers above 5,000 flights should be displayed in that adjusted league table.</w:t>
            </w:r>
          </w:p>
        </w:tc>
      </w:tr>
    </w:tbl>
    <w:p>
      <w:pPr>
        <w:spacing w:after="20"/>
      </w:pPr>
    </w:p>
    <w:p>
      <w:pPr>
        <w:pStyle w:val="Heading2"/>
        <w:pageBreakBefore/>
      </w:pPr>
      <w:r>
        <w:t>Operating-carrier delay burden scaled by duration</w:t>
      </w:r>
    </w:p>
    <w:p>
      <w:pPr>
        <w:keepNext/>
        <w:jc w:val="center"/>
      </w:pPr>
      <w:r>
        <w:drawing>
          <wp:inline xmlns:a="http://schemas.openxmlformats.org/drawingml/2006/main" xmlns:pic="http://schemas.openxmlformats.org/drawingml/2006/picture">
            <wp:extent cx="5903999" cy="2954313"/>
            <wp:docPr id="10" name="Picture 10" descr="Figure 8B. Operating carriers ranked by positive arrival-delay minutes relative to scheduled flight minutes."/>
            <wp:cNvGraphicFramePr>
              <a:graphicFrameLocks noChangeAspect="1"/>
            </wp:cNvGraphicFramePr>
            <a:graphic>
              <a:graphicData uri="http://schemas.openxmlformats.org/drawingml/2006/picture">
                <pic:pic>
                  <pic:nvPicPr>
                    <pic:cNvPr id="0" name="carrier_relative_delay_rankings.png"/>
                    <pic:cNvPicPr/>
                  </pic:nvPicPr>
                  <pic:blipFill>
                    <a:blip r:embed="rId20"/>
                    <a:stretch>
                      <a:fillRect/>
                    </a:stretch>
                  </pic:blipFill>
                  <pic:spPr>
                    <a:xfrm>
                      <a:off x="0" y="0"/>
                      <a:ext cx="5903999" cy="2954313"/>
                    </a:xfrm>
                    <a:prstGeom prst="rect"/>
                  </pic:spPr>
                </pic:pic>
              </a:graphicData>
            </a:graphic>
          </wp:inline>
        </w:drawing>
      </w:r>
    </w:p>
    <w:p>
      <w:pPr>
        <w:spacing w:before="40" w:after="40"/>
        <w:jc w:val="center"/>
      </w:pPr>
      <w:r>
        <w:rPr>
          <w:rFonts w:ascii="Calibri" w:hAnsi="Calibri"/>
          <w:b w:val="0"/>
          <w:i/>
          <w:color w:val="667085"/>
          <w:sz w:val="18"/>
        </w:rPr>
        <w:t>Figure 8B. Operating carriers ranked by positive arrival-delay minutes relative to scheduled flight minutes.</w:t>
      </w:r>
    </w:p>
    <w:p>
      <w:pPr>
        <w:spacing w:before="0" w:after="120"/>
        <w:jc w:val="center"/>
      </w:pPr>
      <w:r>
        <w:rPr>
          <w:rFonts w:ascii="Calibri" w:hAnsi="Calibri"/>
          <w:b w:val="0"/>
          <w:i w:val="0"/>
          <w:color w:val="667085"/>
          <w:sz w:val="17"/>
        </w:rPr>
        <w:t>Eligibility remains at least 1,000 observed arrivals and three periods. Lower is better. This is an arrival-delay severity ratio, not the percentage of flights delayed.</w:t>
      </w:r>
    </w:p>
    <w:tbl>
      <w:tblPr>
        <w:tblW w:type="dxa" w:w="10205"/>
        <w:tblLayout w:type="fixed"/>
        <w:tblLook w:firstColumn="1" w:firstRow="1" w:lastColumn="0" w:lastRow="0" w:noHBand="0" w:noVBand="1" w:val="04A0"/>
        <w:jc w:val="left"/>
        <w:tblInd w:w="120" w:type="dxa"/>
      </w:tblPr>
      <w:tblGrid>
        <w:gridCol w:w="1200"/>
        <w:gridCol w:w="3900"/>
        <w:gridCol w:w="1500"/>
        <w:gridCol w:w="1500"/>
        <w:gridCol w:w="2105"/>
      </w:tblGrid>
      <w:tr>
        <w:trPr>
          <w:tblHeader/>
          <w:cantSplit/>
        </w:trPr>
        <w:tc>
          <w:tcPr>
            <w:tcW w:type="dxa" w:w="1200"/>
            <w:tcMar>
              <w:top w:w="100" w:type="dxa"/>
              <w:start w:w="120" w:type="dxa"/>
              <w:bottom w:w="100" w:type="dxa"/>
              <w:end w:w="120" w:type="dxa"/>
            </w:tcMar>
            <w:vAlign w:val="center"/>
            <w:shd w:fill="1F4E78"/>
          </w:tcPr>
          <w:p>
            <w:pPr>
              <w:jc w:val="center"/>
            </w:pPr>
            <w:r>
              <w:rPr>
                <w:rFonts w:ascii="Calibri" w:hAnsi="Calibri"/>
                <w:b/>
                <w:i w:val="0"/>
                <w:color w:val="FFFFFF"/>
                <w:sz w:val="18"/>
              </w:rPr>
              <w:t>Screen</w:t>
            </w:r>
          </w:p>
        </w:tc>
        <w:tc>
          <w:tcPr>
            <w:tcW w:type="dxa" w:w="3900"/>
            <w:tcMar>
              <w:top w:w="100" w:type="dxa"/>
              <w:start w:w="120" w:type="dxa"/>
              <w:bottom w:w="100" w:type="dxa"/>
              <w:end w:w="120" w:type="dxa"/>
            </w:tcMar>
            <w:vAlign w:val="center"/>
            <w:shd w:fill="1F4E78"/>
          </w:tcPr>
          <w:p>
            <w:pPr>
              <w:jc w:val="center"/>
            </w:pPr>
            <w:r>
              <w:rPr>
                <w:rFonts w:ascii="Calibri" w:hAnsi="Calibri"/>
                <w:b/>
                <w:i w:val="0"/>
                <w:color w:val="FFFFFF"/>
                <w:sz w:val="18"/>
              </w:rPr>
              <w:t>Operating carrier</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Flights</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c>
          <w:tcPr>
            <w:tcW w:type="dxa" w:w="2105"/>
            <w:tcMar>
              <w:top w:w="100" w:type="dxa"/>
              <w:start w:w="120" w:type="dxa"/>
              <w:bottom w:w="100" w:type="dxa"/>
              <w:end w:w="120" w:type="dxa"/>
            </w:tcMar>
            <w:vAlign w:val="center"/>
            <w:shd w:fill="1F4E78"/>
          </w:tcPr>
          <w:p>
            <w:pPr>
              <w:jc w:val="center"/>
            </w:pPr>
            <w:r>
              <w:rPr>
                <w:rFonts w:ascii="Calibri" w:hAnsi="Calibri"/>
                <w:b/>
                <w:i w:val="0"/>
                <w:color w:val="FFFFFF"/>
                <w:sz w:val="18"/>
              </w:rPr>
              <w:t>Relative burden</w:t>
            </w:r>
          </w:p>
        </w:tc>
      </w:tr>
      <w:tr>
        <w:trPr>
          <w:cantSplit/>
        </w:trPr>
        <w:tc>
          <w:tcPr>
            <w:tcW w:type="dxa" w:w="1200"/>
            <w:tcMar>
              <w:top w:w="100" w:type="dxa"/>
              <w:start w:w="120" w:type="dxa"/>
              <w:bottom w:w="100" w:type="dxa"/>
              <w:end w:w="120" w:type="dxa"/>
            </w:tcMar>
            <w:vAlign w:val="center"/>
          </w:tcPr>
          <w:p>
            <w:pPr>
              <w:jc w:val="left"/>
            </w:pPr>
            <w:r>
              <w:rPr>
                <w:rFonts w:ascii="Calibri" w:hAnsi="Calibri"/>
                <w:b w:val="0"/>
                <w:i w:val="0"/>
                <w:color w:val="1F2937"/>
                <w:sz w:val="18"/>
              </w:rPr>
              <w:t>Lowest</w:t>
            </w:r>
          </w:p>
        </w:tc>
        <w:tc>
          <w:tcPr>
            <w:tcW w:type="dxa" w:w="3900"/>
            <w:tcMar>
              <w:top w:w="100" w:type="dxa"/>
              <w:start w:w="120" w:type="dxa"/>
              <w:bottom w:w="100" w:type="dxa"/>
              <w:end w:w="120" w:type="dxa"/>
            </w:tcMar>
            <w:vAlign w:val="center"/>
          </w:tcPr>
          <w:p>
            <w:pPr>
              <w:jc w:val="center"/>
            </w:pPr>
            <w:r>
              <w:rPr>
                <w:rFonts w:ascii="Calibri" w:hAnsi="Calibri"/>
                <w:b w:val="0"/>
                <w:i w:val="0"/>
                <w:color w:val="1F2937"/>
                <w:sz w:val="18"/>
              </w:rPr>
              <w:t>JAPAN AIRLINES CO., LTD (JAL)</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2,140</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76.9%</w:t>
            </w:r>
          </w:p>
        </w:tc>
        <w:tc>
          <w:tcPr>
            <w:tcW w:type="dxa" w:w="2105"/>
            <w:tcMar>
              <w:top w:w="100" w:type="dxa"/>
              <w:start w:w="120" w:type="dxa"/>
              <w:bottom w:w="100" w:type="dxa"/>
              <w:end w:w="120" w:type="dxa"/>
            </w:tcMar>
            <w:vAlign w:val="center"/>
          </w:tcPr>
          <w:p>
            <w:pPr>
              <w:jc w:val="center"/>
            </w:pPr>
            <w:r>
              <w:rPr>
                <w:rFonts w:ascii="Calibri" w:hAnsi="Calibri"/>
                <w:b w:val="0"/>
                <w:i w:val="0"/>
                <w:color w:val="1F2937"/>
                <w:sz w:val="18"/>
              </w:rPr>
              <w:t>1.2%</w:t>
            </w:r>
          </w:p>
        </w:tc>
      </w:tr>
      <w:tr>
        <w:trPr>
          <w:cantSplit/>
        </w:trPr>
        <w:tc>
          <w:tcPr>
            <w:tcW w:type="dxa" w:w="1200"/>
            <w:shd w:fill="F7FBFE"/>
            <w:tcMar>
              <w:top w:w="100" w:type="dxa"/>
              <w:start w:w="120" w:type="dxa"/>
              <w:bottom w:w="100" w:type="dxa"/>
              <w:end w:w="120" w:type="dxa"/>
            </w:tcMar>
            <w:vAlign w:val="center"/>
          </w:tcPr>
          <w:p>
            <w:pPr>
              <w:jc w:val="left"/>
            </w:pPr>
            <w:r>
              <w:rPr>
                <w:rFonts w:ascii="Calibri" w:hAnsi="Calibri"/>
                <w:b w:val="0"/>
                <w:i w:val="0"/>
                <w:color w:val="1F2937"/>
                <w:sz w:val="18"/>
              </w:rPr>
              <w:t>Lowest</w:t>
            </w:r>
          </w:p>
        </w:tc>
        <w:tc>
          <w:tcPr>
            <w:tcW w:type="dxa" w:w="3900"/>
            <w:shd w:fill="F7FBFE"/>
            <w:tcMar>
              <w:top w:w="100" w:type="dxa"/>
              <w:start w:w="120" w:type="dxa"/>
              <w:bottom w:w="100" w:type="dxa"/>
              <w:end w:w="120" w:type="dxa"/>
            </w:tcMar>
            <w:vAlign w:val="center"/>
          </w:tcPr>
          <w:p>
            <w:pPr>
              <w:jc w:val="center"/>
            </w:pPr>
            <w:r>
              <w:rPr>
                <w:rFonts w:ascii="Calibri" w:hAnsi="Calibri"/>
                <w:b w:val="0"/>
                <w:i w:val="0"/>
                <w:color w:val="1F2937"/>
                <w:sz w:val="18"/>
              </w:rPr>
              <w:t>JOON (JON)</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2,275</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99.3%</w:t>
            </w:r>
          </w:p>
        </w:tc>
        <w:tc>
          <w:tcPr>
            <w:tcW w:type="dxa" w:w="2105"/>
            <w:shd w:fill="F7FBFE"/>
            <w:tcMar>
              <w:top w:w="100" w:type="dxa"/>
              <w:start w:w="120" w:type="dxa"/>
              <w:bottom w:w="100" w:type="dxa"/>
              <w:end w:w="120" w:type="dxa"/>
            </w:tcMar>
            <w:vAlign w:val="center"/>
          </w:tcPr>
          <w:p>
            <w:pPr>
              <w:jc w:val="center"/>
            </w:pPr>
            <w:r>
              <w:rPr>
                <w:rFonts w:ascii="Calibri" w:hAnsi="Calibri"/>
                <w:b w:val="0"/>
                <w:i w:val="0"/>
                <w:color w:val="1F2937"/>
                <w:sz w:val="18"/>
              </w:rPr>
              <w:t>1.2%</w:t>
            </w:r>
          </w:p>
        </w:tc>
      </w:tr>
      <w:tr>
        <w:trPr>
          <w:cantSplit/>
        </w:trPr>
        <w:tc>
          <w:tcPr>
            <w:tcW w:type="dxa" w:w="1200"/>
            <w:tcMar>
              <w:top w:w="100" w:type="dxa"/>
              <w:start w:w="120" w:type="dxa"/>
              <w:bottom w:w="100" w:type="dxa"/>
              <w:end w:w="120" w:type="dxa"/>
            </w:tcMar>
            <w:vAlign w:val="center"/>
          </w:tcPr>
          <w:p>
            <w:pPr>
              <w:jc w:val="left"/>
            </w:pPr>
            <w:r>
              <w:rPr>
                <w:rFonts w:ascii="Calibri" w:hAnsi="Calibri"/>
                <w:b w:val="0"/>
                <w:i w:val="0"/>
                <w:color w:val="1F2937"/>
                <w:sz w:val="18"/>
              </w:rPr>
              <w:t>Lowest</w:t>
            </w:r>
          </w:p>
        </w:tc>
        <w:tc>
          <w:tcPr>
            <w:tcW w:type="dxa" w:w="3900"/>
            <w:tcMar>
              <w:top w:w="100" w:type="dxa"/>
              <w:start w:w="120" w:type="dxa"/>
              <w:bottom w:w="100" w:type="dxa"/>
              <w:end w:w="120" w:type="dxa"/>
            </w:tcMar>
            <w:vAlign w:val="center"/>
          </w:tcPr>
          <w:p>
            <w:pPr>
              <w:jc w:val="center"/>
            </w:pPr>
            <w:r>
              <w:rPr>
                <w:rFonts w:ascii="Calibri" w:hAnsi="Calibri"/>
                <w:b w:val="0"/>
                <w:i w:val="0"/>
                <w:color w:val="1F2937"/>
                <w:sz w:val="18"/>
              </w:rPr>
              <w:t>AEROLOGIC GMBH, LEIPZIG (BOX)</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8,130</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85.8%</w:t>
            </w:r>
          </w:p>
        </w:tc>
        <w:tc>
          <w:tcPr>
            <w:tcW w:type="dxa" w:w="2105"/>
            <w:tcMar>
              <w:top w:w="100" w:type="dxa"/>
              <w:start w:w="120" w:type="dxa"/>
              <w:bottom w:w="100" w:type="dxa"/>
              <w:end w:w="120" w:type="dxa"/>
            </w:tcMar>
            <w:vAlign w:val="center"/>
          </w:tcPr>
          <w:p>
            <w:pPr>
              <w:jc w:val="center"/>
            </w:pPr>
            <w:r>
              <w:rPr>
                <w:rFonts w:ascii="Calibri" w:hAnsi="Calibri"/>
                <w:b w:val="0"/>
                <w:i w:val="0"/>
                <w:color w:val="1F2937"/>
                <w:sz w:val="18"/>
              </w:rPr>
              <w:t>1.4%</w:t>
            </w:r>
          </w:p>
        </w:tc>
      </w:tr>
      <w:tr>
        <w:trPr>
          <w:cantSplit/>
        </w:trPr>
        <w:tc>
          <w:tcPr>
            <w:tcW w:type="dxa" w:w="1200"/>
            <w:shd w:fill="F7FBFE"/>
            <w:tcMar>
              <w:top w:w="100" w:type="dxa"/>
              <w:start w:w="120" w:type="dxa"/>
              <w:bottom w:w="100" w:type="dxa"/>
              <w:end w:w="120" w:type="dxa"/>
            </w:tcMar>
            <w:vAlign w:val="center"/>
          </w:tcPr>
          <w:p>
            <w:pPr>
              <w:jc w:val="left"/>
            </w:pPr>
            <w:r>
              <w:rPr>
                <w:rFonts w:ascii="Calibri" w:hAnsi="Calibri"/>
                <w:b w:val="0"/>
                <w:i w:val="0"/>
                <w:color w:val="1F2937"/>
                <w:sz w:val="18"/>
              </w:rPr>
              <w:t>Highest</w:t>
            </w:r>
          </w:p>
        </w:tc>
        <w:tc>
          <w:tcPr>
            <w:tcW w:type="dxa" w:w="3900"/>
            <w:shd w:fill="F7FBFE"/>
            <w:tcMar>
              <w:top w:w="100" w:type="dxa"/>
              <w:start w:w="120" w:type="dxa"/>
              <w:bottom w:w="100" w:type="dxa"/>
              <w:end w:w="120" w:type="dxa"/>
            </w:tcMar>
            <w:vAlign w:val="center"/>
          </w:tcPr>
          <w:p>
            <w:pPr>
              <w:jc w:val="center"/>
            </w:pPr>
            <w:r>
              <w:rPr>
                <w:rFonts w:ascii="Calibri" w:hAnsi="Calibri"/>
                <w:b w:val="0"/>
                <w:i w:val="0"/>
                <w:color w:val="1F2937"/>
                <w:sz w:val="18"/>
              </w:rPr>
              <w:t>BRITISH AIRWAYS SHUTTLE (SHT)</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17,576</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73.6%</w:t>
            </w:r>
          </w:p>
        </w:tc>
        <w:tc>
          <w:tcPr>
            <w:tcW w:type="dxa" w:w="2105"/>
            <w:shd w:fill="F7FBFE"/>
            <w:tcMar>
              <w:top w:w="100" w:type="dxa"/>
              <w:start w:w="120" w:type="dxa"/>
              <w:bottom w:w="100" w:type="dxa"/>
              <w:end w:w="120" w:type="dxa"/>
            </w:tcMar>
            <w:vAlign w:val="center"/>
          </w:tcPr>
          <w:p>
            <w:pPr>
              <w:jc w:val="center"/>
            </w:pPr>
            <w:r>
              <w:rPr>
                <w:rFonts w:ascii="Calibri" w:hAnsi="Calibri"/>
                <w:b w:val="0"/>
                <w:i w:val="0"/>
                <w:color w:val="1F2937"/>
                <w:sz w:val="18"/>
              </w:rPr>
              <w:t>15.5%</w:t>
            </w:r>
          </w:p>
        </w:tc>
      </w:tr>
      <w:tr>
        <w:trPr>
          <w:cantSplit/>
        </w:trPr>
        <w:tc>
          <w:tcPr>
            <w:tcW w:type="dxa" w:w="1200"/>
            <w:tcMar>
              <w:top w:w="100" w:type="dxa"/>
              <w:start w:w="120" w:type="dxa"/>
              <w:bottom w:w="100" w:type="dxa"/>
              <w:end w:w="120" w:type="dxa"/>
            </w:tcMar>
            <w:vAlign w:val="center"/>
          </w:tcPr>
          <w:p>
            <w:pPr>
              <w:jc w:val="left"/>
            </w:pPr>
            <w:r>
              <w:rPr>
                <w:rFonts w:ascii="Calibri" w:hAnsi="Calibri"/>
                <w:b w:val="0"/>
                <w:i w:val="0"/>
                <w:color w:val="1F2937"/>
                <w:sz w:val="18"/>
              </w:rPr>
              <w:t>Highest</w:t>
            </w:r>
          </w:p>
        </w:tc>
        <w:tc>
          <w:tcPr>
            <w:tcW w:type="dxa" w:w="3900"/>
            <w:tcMar>
              <w:top w:w="100" w:type="dxa"/>
              <w:start w:w="120" w:type="dxa"/>
              <w:bottom w:w="100" w:type="dxa"/>
              <w:end w:w="120" w:type="dxa"/>
            </w:tcMar>
            <w:vAlign w:val="center"/>
          </w:tcPr>
          <w:p>
            <w:pPr>
              <w:jc w:val="center"/>
            </w:pPr>
            <w:r>
              <w:rPr>
                <w:rFonts w:ascii="Calibri" w:hAnsi="Calibri"/>
                <w:b w:val="0"/>
                <w:i w:val="0"/>
                <w:color w:val="1F2937"/>
                <w:sz w:val="18"/>
              </w:rPr>
              <w:t>URAL AIRLINES (SVR)</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3,748</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52.6%</w:t>
            </w:r>
          </w:p>
        </w:tc>
        <w:tc>
          <w:tcPr>
            <w:tcW w:type="dxa" w:w="2105"/>
            <w:tcMar>
              <w:top w:w="100" w:type="dxa"/>
              <w:start w:w="120" w:type="dxa"/>
              <w:bottom w:w="100" w:type="dxa"/>
              <w:end w:w="120" w:type="dxa"/>
            </w:tcMar>
            <w:vAlign w:val="center"/>
          </w:tcPr>
          <w:p>
            <w:pPr>
              <w:jc w:val="center"/>
            </w:pPr>
            <w:r>
              <w:rPr>
                <w:rFonts w:ascii="Calibri" w:hAnsi="Calibri"/>
                <w:b w:val="0"/>
                <w:i w:val="0"/>
                <w:color w:val="1F2937"/>
                <w:sz w:val="18"/>
              </w:rPr>
              <w:t>14.4%</w:t>
            </w:r>
          </w:p>
        </w:tc>
      </w:tr>
      <w:tr>
        <w:trPr>
          <w:cantSplit/>
        </w:trPr>
        <w:tc>
          <w:tcPr>
            <w:tcW w:type="dxa" w:w="1200"/>
            <w:shd w:fill="F7FBFE"/>
            <w:tcMar>
              <w:top w:w="100" w:type="dxa"/>
              <w:start w:w="120" w:type="dxa"/>
              <w:bottom w:w="100" w:type="dxa"/>
              <w:end w:w="120" w:type="dxa"/>
            </w:tcMar>
            <w:vAlign w:val="center"/>
          </w:tcPr>
          <w:p>
            <w:pPr>
              <w:jc w:val="left"/>
            </w:pPr>
            <w:r>
              <w:rPr>
                <w:rFonts w:ascii="Calibri" w:hAnsi="Calibri"/>
                <w:b w:val="0"/>
                <w:i w:val="0"/>
                <w:color w:val="1F2937"/>
                <w:sz w:val="18"/>
              </w:rPr>
              <w:t>Highest</w:t>
            </w:r>
          </w:p>
        </w:tc>
        <w:tc>
          <w:tcPr>
            <w:tcW w:type="dxa" w:w="3900"/>
            <w:shd w:fill="F7FBFE"/>
            <w:tcMar>
              <w:top w:w="100" w:type="dxa"/>
              <w:start w:w="120" w:type="dxa"/>
              <w:bottom w:w="100" w:type="dxa"/>
              <w:end w:w="120" w:type="dxa"/>
            </w:tcMar>
            <w:vAlign w:val="center"/>
          </w:tcPr>
          <w:p>
            <w:pPr>
              <w:jc w:val="center"/>
            </w:pPr>
            <w:r>
              <w:rPr>
                <w:rFonts w:ascii="Calibri" w:hAnsi="Calibri"/>
                <w:b w:val="0"/>
                <w:i w:val="0"/>
                <w:color w:val="1F2937"/>
                <w:sz w:val="18"/>
              </w:rPr>
              <w:t>SERVICO ACOREANO DE TRANSPORTES AEREOS - EP (SATA) (SAT)</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12,923</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91.8%</w:t>
            </w:r>
          </w:p>
        </w:tc>
        <w:tc>
          <w:tcPr>
            <w:tcW w:type="dxa" w:w="2105"/>
            <w:shd w:fill="F7FBFE"/>
            <w:tcMar>
              <w:top w:w="100" w:type="dxa"/>
              <w:start w:w="120" w:type="dxa"/>
              <w:bottom w:w="100" w:type="dxa"/>
              <w:end w:w="120" w:type="dxa"/>
            </w:tcMar>
            <w:vAlign w:val="center"/>
          </w:tcPr>
          <w:p>
            <w:pPr>
              <w:jc w:val="center"/>
            </w:pPr>
            <w:r>
              <w:rPr>
                <w:rFonts w:ascii="Calibri" w:hAnsi="Calibri"/>
                <w:b w:val="0"/>
                <w:i w:val="0"/>
                <w:color w:val="1F2937"/>
                <w:sz w:val="18"/>
              </w:rPr>
              <w:t>11.5%</w:t>
            </w:r>
          </w:p>
        </w:tc>
      </w:tr>
    </w:tbl>
    <w:p>
      <w:pPr>
        <w:spacing w:after="20"/>
      </w:pP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Why the ranking changes  </w:t>
            </w:r>
            <w:r>
              <w:rPr>
                <w:rFonts w:ascii="Calibri" w:hAnsi="Calibri"/>
                <w:b w:val="0"/>
                <w:i w:val="0"/>
                <w:color w:val="1F2937"/>
                <w:sz w:val="22"/>
              </w:rPr>
              <w:t>Long scheduled flights dilute the same number of delay minutes more than short flights. Therefore a low relative burden does not automatically mean high OTP15. The chart includes all regular operating carriers, including cargo operators; use it as a severity screen rather than a passenger-airline league table.</w:t>
            </w:r>
          </w:p>
        </w:tc>
      </w:tr>
    </w:tbl>
    <w:p>
      <w:pPr>
        <w:spacing w:after="20"/>
      </w:pPr>
    </w:p>
    <w:p>
      <w:pPr>
        <w:pStyle w:val="Heading2"/>
        <w:pageBreakBefore/>
      </w:pPr>
      <w:r>
        <w:t>EUROCONTROL use case: Ryanair versus Wizz Air</w:t>
      </w:r>
    </w:p>
    <w:p>
      <w:pPr>
        <w:keepNext/>
        <w:jc w:val="center"/>
      </w:pPr>
      <w:r>
        <w:drawing>
          <wp:inline xmlns:a="http://schemas.openxmlformats.org/drawingml/2006/main" xmlns:pic="http://schemas.openxmlformats.org/drawingml/2006/picture">
            <wp:extent cx="6012000" cy="3357987"/>
            <wp:docPr id="11" name="Picture 11" descr="Figure 8C. Ryanair and Wizz Air compared on their highest-volume shared directional routes."/>
            <wp:cNvGraphicFramePr>
              <a:graphicFrameLocks noChangeAspect="1"/>
            </wp:cNvGraphicFramePr>
            <a:graphic>
              <a:graphicData uri="http://schemas.openxmlformats.org/drawingml/2006/picture">
                <pic:pic>
                  <pic:nvPicPr>
                    <pic:cNvPr id="0" name="ryanair_wizz_shared_routes.png"/>
                    <pic:cNvPicPr/>
                  </pic:nvPicPr>
                  <pic:blipFill>
                    <a:blip r:embed="rId21"/>
                    <a:stretch>
                      <a:fillRect/>
                    </a:stretch>
                  </pic:blipFill>
                  <pic:spPr>
                    <a:xfrm>
                      <a:off x="0" y="0"/>
                      <a:ext cx="6012000" cy="3357987"/>
                    </a:xfrm>
                    <a:prstGeom prst="rect"/>
                  </pic:spPr>
                </pic:pic>
              </a:graphicData>
            </a:graphic>
          </wp:inline>
        </w:drawing>
      </w:r>
    </w:p>
    <w:p>
      <w:pPr>
        <w:spacing w:before="40" w:after="40"/>
        <w:jc w:val="center"/>
      </w:pPr>
      <w:r>
        <w:rPr>
          <w:rFonts w:ascii="Calibri" w:hAnsi="Calibri"/>
          <w:b w:val="0"/>
          <w:i/>
          <w:color w:val="667085"/>
          <w:sz w:val="18"/>
        </w:rPr>
        <w:t>Figure 8C. Ryanair and Wizz Air compared on their highest-volume shared directional routes.</w:t>
      </w:r>
    </w:p>
    <w:p>
      <w:pPr>
        <w:spacing w:before="0" w:after="120"/>
        <w:jc w:val="center"/>
      </w:pPr>
      <w:r>
        <w:rPr>
          <w:rFonts w:ascii="Calibri" w:hAnsi="Calibri"/>
          <w:b w:val="0"/>
          <w:i w:val="0"/>
          <w:color w:val="667085"/>
          <w:sz w:val="17"/>
        </w:rPr>
        <w:t>Brand groups include RYR/RYS/RUK and WZZ/WUK/WMT/WAZ. Every eligible shared route has at least 20 observed arrivals and three periods for each group.</w:t>
      </w:r>
    </w:p>
    <w:tbl>
      <w:tblPr>
        <w:tblW w:type="dxa" w:w="10205"/>
        <w:tblLayout w:type="fixed"/>
        <w:tblLook w:firstColumn="1" w:firstRow="1" w:lastColumn="0" w:lastRow="0" w:noHBand="0" w:noVBand="1" w:val="04A0"/>
        <w:jc w:val="left"/>
        <w:tblInd w:w="120" w:type="dxa"/>
      </w:tblPr>
      <w:tblGrid>
        <w:gridCol w:w="2100"/>
        <w:gridCol w:w="1600"/>
        <w:gridCol w:w="1800"/>
        <w:gridCol w:w="2650"/>
        <w:gridCol w:w="2055"/>
      </w:tblGrid>
      <w:tr>
        <w:trPr>
          <w:tblHeader/>
          <w:cantSplit/>
        </w:trPr>
        <w:tc>
          <w:tcPr>
            <w:tcW w:type="dxa" w:w="2100"/>
            <w:tcMar>
              <w:top w:w="100" w:type="dxa"/>
              <w:start w:w="120" w:type="dxa"/>
              <w:bottom w:w="100" w:type="dxa"/>
              <w:end w:w="120" w:type="dxa"/>
            </w:tcMar>
            <w:vAlign w:val="center"/>
            <w:shd w:fill="1F4E78"/>
          </w:tcPr>
          <w:p>
            <w:pPr>
              <w:jc w:val="center"/>
            </w:pPr>
            <w:r>
              <w:rPr>
                <w:rFonts w:ascii="Calibri" w:hAnsi="Calibri"/>
                <w:b/>
                <w:i w:val="0"/>
                <w:color w:val="FFFFFF"/>
                <w:sz w:val="18"/>
              </w:rPr>
              <w:t>Airline group</w:t>
            </w:r>
          </w:p>
        </w:tc>
        <w:tc>
          <w:tcPr>
            <w:tcW w:type="dxa" w:w="1600"/>
            <w:tcMar>
              <w:top w:w="100" w:type="dxa"/>
              <w:start w:w="120" w:type="dxa"/>
              <w:bottom w:w="100" w:type="dxa"/>
              <w:end w:w="120" w:type="dxa"/>
            </w:tcMar>
            <w:vAlign w:val="center"/>
            <w:shd w:fill="1F4E78"/>
          </w:tcPr>
          <w:p>
            <w:pPr>
              <w:jc w:val="center"/>
            </w:pPr>
            <w:r>
              <w:rPr>
                <w:rFonts w:ascii="Calibri" w:hAnsi="Calibri"/>
                <w:b/>
                <w:i w:val="0"/>
                <w:color w:val="FFFFFF"/>
                <w:sz w:val="18"/>
              </w:rPr>
              <w:t>Shared routes</w:t>
            </w:r>
          </w:p>
        </w:tc>
        <w:tc>
          <w:tcPr>
            <w:tcW w:type="dxa" w:w="1800"/>
            <w:tcMar>
              <w:top w:w="100" w:type="dxa"/>
              <w:start w:w="120" w:type="dxa"/>
              <w:bottom w:w="100" w:type="dxa"/>
              <w:end w:w="120" w:type="dxa"/>
            </w:tcMar>
            <w:vAlign w:val="center"/>
            <w:shd w:fill="1F4E78"/>
          </w:tcPr>
          <w:p>
            <w:pPr>
              <w:jc w:val="center"/>
            </w:pPr>
            <w:r>
              <w:rPr>
                <w:rFonts w:ascii="Calibri" w:hAnsi="Calibri"/>
                <w:b/>
                <w:i w:val="0"/>
                <w:color w:val="FFFFFF"/>
                <w:sz w:val="18"/>
              </w:rPr>
              <w:t>Balanced weight</w:t>
            </w:r>
          </w:p>
        </w:tc>
        <w:tc>
          <w:tcPr>
            <w:tcW w:type="dxa" w:w="2650"/>
            <w:tcMar>
              <w:top w:w="100" w:type="dxa"/>
              <w:start w:w="120" w:type="dxa"/>
              <w:bottom w:w="100" w:type="dxa"/>
              <w:end w:w="120" w:type="dxa"/>
            </w:tcMar>
            <w:vAlign w:val="center"/>
            <w:shd w:fill="1F4E78"/>
          </w:tcPr>
          <w:p>
            <w:pPr>
              <w:jc w:val="center"/>
            </w:pPr>
            <w:r>
              <w:rPr>
                <w:rFonts w:ascii="Calibri" w:hAnsi="Calibri"/>
                <w:b/>
                <w:i w:val="0"/>
                <w:color w:val="FFFFFF"/>
                <w:sz w:val="18"/>
              </w:rPr>
              <w:t>Std. OTP15</w:t>
            </w:r>
          </w:p>
        </w:tc>
        <w:tc>
          <w:tcPr>
            <w:tcW w:type="dxa" w:w="2055"/>
            <w:tcMar>
              <w:top w:w="100" w:type="dxa"/>
              <w:start w:w="120" w:type="dxa"/>
              <w:bottom w:w="100" w:type="dxa"/>
              <w:end w:w="120" w:type="dxa"/>
            </w:tcMar>
            <w:vAlign w:val="center"/>
            <w:shd w:fill="1F4E78"/>
          </w:tcPr>
          <w:p>
            <w:pPr>
              <w:jc w:val="center"/>
            </w:pPr>
            <w:r>
              <w:rPr>
                <w:rFonts w:ascii="Calibri" w:hAnsi="Calibri"/>
                <w:b/>
                <w:i w:val="0"/>
                <w:color w:val="FFFFFF"/>
                <w:sz w:val="18"/>
              </w:rPr>
              <w:t>Relative burden</w:t>
            </w:r>
          </w:p>
        </w:tc>
      </w:tr>
      <w:tr>
        <w:trPr>
          <w:cantSplit/>
        </w:trPr>
        <w:tc>
          <w:tcPr>
            <w:tcW w:type="dxa" w:w="2100"/>
            <w:tcMar>
              <w:top w:w="100" w:type="dxa"/>
              <w:start w:w="120" w:type="dxa"/>
              <w:bottom w:w="100" w:type="dxa"/>
              <w:end w:w="120" w:type="dxa"/>
            </w:tcMar>
            <w:vAlign w:val="center"/>
          </w:tcPr>
          <w:p>
            <w:pPr>
              <w:jc w:val="left"/>
            </w:pPr>
            <w:r>
              <w:rPr>
                <w:rFonts w:ascii="Calibri" w:hAnsi="Calibri"/>
                <w:b w:val="0"/>
                <w:i w:val="0"/>
                <w:color w:val="1F2937"/>
                <w:sz w:val="18"/>
              </w:rPr>
              <w:t>Ryanair Group</w:t>
            </w:r>
          </w:p>
        </w:tc>
        <w:tc>
          <w:tcPr>
            <w:tcW w:type="dxa" w:w="1600"/>
            <w:tcMar>
              <w:top w:w="100" w:type="dxa"/>
              <w:start w:w="120" w:type="dxa"/>
              <w:bottom w:w="100" w:type="dxa"/>
              <w:end w:w="120" w:type="dxa"/>
            </w:tcMar>
            <w:vAlign w:val="center"/>
          </w:tcPr>
          <w:p>
            <w:pPr>
              <w:jc w:val="center"/>
            </w:pPr>
            <w:r>
              <w:rPr>
                <w:rFonts w:ascii="Calibri" w:hAnsi="Calibri"/>
                <w:b w:val="0"/>
                <w:i w:val="0"/>
                <w:color w:val="1F2937"/>
                <w:sz w:val="18"/>
              </w:rPr>
              <w:t>319</w:t>
            </w:r>
          </w:p>
        </w:tc>
        <w:tc>
          <w:tcPr>
            <w:tcW w:type="dxa" w:w="1800"/>
            <w:tcMar>
              <w:top w:w="100" w:type="dxa"/>
              <w:start w:w="120" w:type="dxa"/>
              <w:bottom w:w="100" w:type="dxa"/>
              <w:end w:w="120" w:type="dxa"/>
            </w:tcMar>
            <w:vAlign w:val="center"/>
          </w:tcPr>
          <w:p>
            <w:pPr>
              <w:jc w:val="center"/>
            </w:pPr>
            <w:r>
              <w:rPr>
                <w:rFonts w:ascii="Calibri" w:hAnsi="Calibri"/>
                <w:b w:val="0"/>
                <w:i w:val="0"/>
                <w:color w:val="1F2937"/>
                <w:sz w:val="18"/>
              </w:rPr>
              <w:t>30,811</w:t>
            </w:r>
          </w:p>
        </w:tc>
        <w:tc>
          <w:tcPr>
            <w:tcW w:type="dxa" w:w="2650"/>
            <w:tcMar>
              <w:top w:w="100" w:type="dxa"/>
              <w:start w:w="120" w:type="dxa"/>
              <w:bottom w:w="100" w:type="dxa"/>
              <w:end w:w="120" w:type="dxa"/>
            </w:tcMar>
            <w:vAlign w:val="center"/>
          </w:tcPr>
          <w:p>
            <w:pPr>
              <w:jc w:val="center"/>
            </w:pPr>
            <w:r>
              <w:rPr>
                <w:rFonts w:ascii="Calibri" w:hAnsi="Calibri"/>
                <w:b w:val="0"/>
                <w:i w:val="0"/>
                <w:color w:val="1F2937"/>
                <w:sz w:val="18"/>
              </w:rPr>
              <w:t>88.7%</w:t>
            </w:r>
          </w:p>
        </w:tc>
        <w:tc>
          <w:tcPr>
            <w:tcW w:type="dxa" w:w="2055"/>
            <w:tcMar>
              <w:top w:w="100" w:type="dxa"/>
              <w:start w:w="120" w:type="dxa"/>
              <w:bottom w:w="100" w:type="dxa"/>
              <w:end w:w="120" w:type="dxa"/>
            </w:tcMar>
            <w:vAlign w:val="center"/>
          </w:tcPr>
          <w:p>
            <w:pPr>
              <w:jc w:val="center"/>
            </w:pPr>
            <w:r>
              <w:rPr>
                <w:rFonts w:ascii="Calibri" w:hAnsi="Calibri"/>
                <w:b w:val="0"/>
                <w:i w:val="0"/>
                <w:color w:val="1F2937"/>
                <w:sz w:val="18"/>
              </w:rPr>
              <w:t>4.6%</w:t>
            </w:r>
          </w:p>
        </w:tc>
      </w:tr>
      <w:tr>
        <w:trPr>
          <w:cantSplit/>
        </w:trPr>
        <w:tc>
          <w:tcPr>
            <w:tcW w:type="dxa" w:w="2100"/>
            <w:shd w:fill="F7FBFE"/>
            <w:tcMar>
              <w:top w:w="100" w:type="dxa"/>
              <w:start w:w="120" w:type="dxa"/>
              <w:bottom w:w="100" w:type="dxa"/>
              <w:end w:w="120" w:type="dxa"/>
            </w:tcMar>
            <w:vAlign w:val="center"/>
          </w:tcPr>
          <w:p>
            <w:pPr>
              <w:jc w:val="left"/>
            </w:pPr>
            <w:r>
              <w:rPr>
                <w:rFonts w:ascii="Calibri" w:hAnsi="Calibri"/>
                <w:b w:val="0"/>
                <w:i w:val="0"/>
                <w:color w:val="1F2937"/>
                <w:sz w:val="18"/>
              </w:rPr>
              <w:t>Wizz Air Group</w:t>
            </w:r>
          </w:p>
        </w:tc>
        <w:tc>
          <w:tcPr>
            <w:tcW w:type="dxa" w:w="1600"/>
            <w:shd w:fill="F7FBFE"/>
            <w:tcMar>
              <w:top w:w="100" w:type="dxa"/>
              <w:start w:w="120" w:type="dxa"/>
              <w:bottom w:w="100" w:type="dxa"/>
              <w:end w:w="120" w:type="dxa"/>
            </w:tcMar>
            <w:vAlign w:val="center"/>
          </w:tcPr>
          <w:p>
            <w:pPr>
              <w:jc w:val="center"/>
            </w:pPr>
            <w:r>
              <w:rPr>
                <w:rFonts w:ascii="Calibri" w:hAnsi="Calibri"/>
                <w:b w:val="0"/>
                <w:i w:val="0"/>
                <w:color w:val="1F2937"/>
                <w:sz w:val="18"/>
              </w:rPr>
              <w:t>319</w:t>
            </w:r>
          </w:p>
        </w:tc>
        <w:tc>
          <w:tcPr>
            <w:tcW w:type="dxa" w:w="1800"/>
            <w:shd w:fill="F7FBFE"/>
            <w:tcMar>
              <w:top w:w="100" w:type="dxa"/>
              <w:start w:w="120" w:type="dxa"/>
              <w:bottom w:w="100" w:type="dxa"/>
              <w:end w:w="120" w:type="dxa"/>
            </w:tcMar>
            <w:vAlign w:val="center"/>
          </w:tcPr>
          <w:p>
            <w:pPr>
              <w:jc w:val="center"/>
            </w:pPr>
            <w:r>
              <w:rPr>
                <w:rFonts w:ascii="Calibri" w:hAnsi="Calibri"/>
                <w:b w:val="0"/>
                <w:i w:val="0"/>
                <w:color w:val="1F2937"/>
                <w:sz w:val="18"/>
              </w:rPr>
              <w:t>30,811</w:t>
            </w:r>
          </w:p>
        </w:tc>
        <w:tc>
          <w:tcPr>
            <w:tcW w:type="dxa" w:w="2650"/>
            <w:shd w:fill="F7FBFE"/>
            <w:tcMar>
              <w:top w:w="100" w:type="dxa"/>
              <w:start w:w="120" w:type="dxa"/>
              <w:bottom w:w="100" w:type="dxa"/>
              <w:end w:w="120" w:type="dxa"/>
            </w:tcMar>
            <w:vAlign w:val="center"/>
          </w:tcPr>
          <w:p>
            <w:pPr>
              <w:jc w:val="center"/>
            </w:pPr>
            <w:r>
              <w:rPr>
                <w:rFonts w:ascii="Calibri" w:hAnsi="Calibri"/>
                <w:b w:val="0"/>
                <w:i w:val="0"/>
                <w:color w:val="1F2937"/>
                <w:sz w:val="18"/>
              </w:rPr>
              <w:t>87.6%</w:t>
            </w:r>
          </w:p>
        </w:tc>
        <w:tc>
          <w:tcPr>
            <w:tcW w:type="dxa" w:w="2055"/>
            <w:shd w:fill="F7FBFE"/>
            <w:tcMar>
              <w:top w:w="100" w:type="dxa"/>
              <w:start w:w="120" w:type="dxa"/>
              <w:bottom w:w="100" w:type="dxa"/>
              <w:end w:w="120" w:type="dxa"/>
            </w:tcMar>
            <w:vAlign w:val="center"/>
          </w:tcPr>
          <w:p>
            <w:pPr>
              <w:jc w:val="center"/>
            </w:pPr>
            <w:r>
              <w:rPr>
                <w:rFonts w:ascii="Calibri" w:hAnsi="Calibri"/>
                <w:b w:val="0"/>
                <w:i w:val="0"/>
                <w:color w:val="1F2937"/>
                <w:sz w:val="18"/>
              </w:rPr>
              <w:t>4.8%</w:t>
            </w:r>
          </w:p>
        </w:tc>
      </w:tr>
    </w:tbl>
    <w:p>
      <w:pPr>
        <w:spacing w:after="20"/>
      </w:pPr>
    </w:p>
    <w:p>
      <w:r>
        <w:rPr>
          <w:rFonts w:ascii="Calibri" w:hAnsi="Calibri"/>
          <w:b w:val="0"/>
          <w:i w:val="0"/>
          <w:color w:val="1F2937"/>
          <w:sz w:val="24"/>
        </w:rPr>
        <w:t>Across 319 eligible shared directional routes, the balanced route screen gives Ryanair 88.7% OTP15 and 4.6% relative burden, versus 87.6% and 4.8% for Wizz Air. The difference is small and descriptive: matching routes reduces network-mix bias but does not control hour, date, aircraft, airport congestion or disruption.</w:t>
      </w:r>
    </w:p>
    <w:p>
      <w:pPr>
        <w:pStyle w:val="Heading2"/>
        <w:pageBreakBefore/>
      </w:pPr>
      <w:r>
        <w:t>EUROCONTROL use case: Madrid-Milan over time</w:t>
      </w:r>
    </w:p>
    <w:p>
      <w:pPr>
        <w:keepNext/>
        <w:jc w:val="center"/>
      </w:pPr>
      <w:r>
        <w:drawing>
          <wp:inline xmlns:a="http://schemas.openxmlformats.org/drawingml/2006/main" xmlns:pic="http://schemas.openxmlformats.org/drawingml/2006/picture">
            <wp:extent cx="6120000" cy="4448634"/>
            <wp:docPr id="12" name="Picture 12" descr="Figure 8D. Arrival OTP15 for the Madrid-Milan passenger-airline corridor by snapshot, carrier and scheduled departure hour."/>
            <wp:cNvGraphicFramePr>
              <a:graphicFrameLocks noChangeAspect="1"/>
            </wp:cNvGraphicFramePr>
            <a:graphic>
              <a:graphicData uri="http://schemas.openxmlformats.org/drawingml/2006/picture">
                <pic:pic>
                  <pic:nvPicPr>
                    <pic:cNvPr id="0" name="madrid_milan_case_study.png"/>
                    <pic:cNvPicPr/>
                  </pic:nvPicPr>
                  <pic:blipFill>
                    <a:blip r:embed="rId22"/>
                    <a:stretch>
                      <a:fillRect/>
                    </a:stretch>
                  </pic:blipFill>
                  <pic:spPr>
                    <a:xfrm>
                      <a:off x="0" y="0"/>
                      <a:ext cx="6120000" cy="4448634"/>
                    </a:xfrm>
                    <a:prstGeom prst="rect"/>
                  </pic:spPr>
                </pic:pic>
              </a:graphicData>
            </a:graphic>
          </wp:inline>
        </w:drawing>
      </w:r>
    </w:p>
    <w:p>
      <w:pPr>
        <w:spacing w:before="40" w:after="40"/>
        <w:jc w:val="center"/>
      </w:pPr>
      <w:r>
        <w:rPr>
          <w:rFonts w:ascii="Calibri" w:hAnsi="Calibri"/>
          <w:b w:val="0"/>
          <w:i/>
          <w:color w:val="667085"/>
          <w:sz w:val="18"/>
        </w:rPr>
        <w:t>Figure 8D. Arrival OTP15 for the Madrid-Milan passenger-airline corridor by snapshot, carrier and scheduled departure hour.</w:t>
      </w:r>
    </w:p>
    <w:p>
      <w:pPr>
        <w:spacing w:before="0" w:after="120"/>
        <w:jc w:val="center"/>
      </w:pPr>
      <w:r>
        <w:rPr>
          <w:rFonts w:ascii="Calibri" w:hAnsi="Calibri"/>
          <w:b w:val="0"/>
          <w:i w:val="0"/>
          <w:color w:val="667085"/>
          <w:sz w:val="17"/>
        </w:rPr>
        <w:t>Madrid is LEMD; the Milan airport system is LIMC, LIML and LIME; both directions are included. Passenger airlines are identified through mainline, low-cost or regional market segments.</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Corridor screen  </w:t>
            </w:r>
            <w:r>
              <w:rPr>
                <w:rFonts w:ascii="Calibri" w:hAnsi="Calibri"/>
                <w:b w:val="0"/>
                <w:i w:val="0"/>
                <w:color w:val="1F2937"/>
                <w:sz w:val="22"/>
              </w:rPr>
              <w:t>The strongest snapshot is 2022-03 at 96.6% OTP15; the weakest is 2023-03 at 80.3%. Among airlines with at least 50 observed arrivals, RYANAIR (RYR) is highest at 89.1% and AIR EUROPA (AEA) lowest at 87.0%.</w:t>
            </w:r>
          </w:p>
        </w:tc>
      </w:tr>
    </w:tbl>
    <w:p>
      <w:pPr>
        <w:spacing w:after="20"/>
      </w:pPr>
    </w:p>
    <w:p>
      <w:pPr>
        <w:pStyle w:val="Heading2"/>
        <w:pageBreakBefore/>
      </w:pPr>
      <w:r>
        <w:t>Madrid-Milan: decision windows and individual records</w:t>
      </w:r>
    </w:p>
    <w:tbl>
      <w:tblPr>
        <w:tblW w:type="dxa" w:w="10205"/>
        <w:tblLayout w:type="fixed"/>
        <w:tblLook w:firstColumn="1" w:firstRow="1" w:lastColumn="0" w:lastRow="0" w:noHBand="0" w:noVBand="1" w:val="04A0"/>
        <w:jc w:val="left"/>
        <w:tblInd w:w="120" w:type="dxa"/>
      </w:tblPr>
      <w:tblGrid>
        <w:gridCol w:w="1850"/>
        <w:gridCol w:w="2700"/>
        <w:gridCol w:w="1500"/>
        <w:gridCol w:w="2700"/>
        <w:gridCol w:w="1455"/>
      </w:tblGrid>
      <w:tr>
        <w:trPr>
          <w:tblHeader/>
          <w:cantSplit/>
        </w:trPr>
        <w:tc>
          <w:tcPr>
            <w:tcW w:type="dxa" w:w="1850"/>
            <w:tcMar>
              <w:top w:w="100" w:type="dxa"/>
              <w:start w:w="120" w:type="dxa"/>
              <w:bottom w:w="100" w:type="dxa"/>
              <w:end w:w="120" w:type="dxa"/>
            </w:tcMar>
            <w:vAlign w:val="center"/>
            <w:shd w:fill="1F4E78"/>
          </w:tcPr>
          <w:p>
            <w:pPr>
              <w:jc w:val="center"/>
            </w:pPr>
            <w:r>
              <w:rPr>
                <w:rFonts w:ascii="Calibri" w:hAnsi="Calibri"/>
                <w:b/>
                <w:i w:val="0"/>
                <w:color w:val="FFFFFF"/>
                <w:sz w:val="18"/>
              </w:rPr>
              <w:t>Decision screen</w:t>
            </w:r>
          </w:p>
        </w:tc>
        <w:tc>
          <w:tcPr>
            <w:tcW w:type="dxa" w:w="2700"/>
            <w:tcMar>
              <w:top w:w="100" w:type="dxa"/>
              <w:start w:w="120" w:type="dxa"/>
              <w:bottom w:w="100" w:type="dxa"/>
              <w:end w:w="120" w:type="dxa"/>
            </w:tcMar>
            <w:vAlign w:val="center"/>
            <w:shd w:fill="1F4E78"/>
          </w:tcPr>
          <w:p>
            <w:pPr>
              <w:jc w:val="center"/>
            </w:pPr>
            <w:r>
              <w:rPr>
                <w:rFonts w:ascii="Calibri" w:hAnsi="Calibri"/>
                <w:b/>
                <w:i w:val="0"/>
                <w:color w:val="FFFFFF"/>
                <w:sz w:val="18"/>
              </w:rPr>
              <w:t>Best</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c>
          <w:tcPr>
            <w:tcW w:type="dxa" w:w="2700"/>
            <w:tcMar>
              <w:top w:w="100" w:type="dxa"/>
              <w:start w:w="120" w:type="dxa"/>
              <w:bottom w:w="100" w:type="dxa"/>
              <w:end w:w="120" w:type="dxa"/>
            </w:tcMar>
            <w:vAlign w:val="center"/>
            <w:shd w:fill="1F4E78"/>
          </w:tcPr>
          <w:p>
            <w:pPr>
              <w:jc w:val="center"/>
            </w:pPr>
            <w:r>
              <w:rPr>
                <w:rFonts w:ascii="Calibri" w:hAnsi="Calibri"/>
                <w:b/>
                <w:i w:val="0"/>
                <w:color w:val="FFFFFF"/>
                <w:sz w:val="18"/>
              </w:rPr>
              <w:t>Worst</w:t>
            </w:r>
          </w:p>
        </w:tc>
        <w:tc>
          <w:tcPr>
            <w:tcW w:type="dxa" w:w="1455"/>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r>
      <w:tr>
        <w:trPr>
          <w:cantSplit/>
        </w:trPr>
        <w:tc>
          <w:tcPr>
            <w:tcW w:type="dxa" w:w="1850"/>
            <w:tcMar>
              <w:top w:w="100" w:type="dxa"/>
              <w:start w:w="120" w:type="dxa"/>
              <w:bottom w:w="100" w:type="dxa"/>
              <w:end w:w="120" w:type="dxa"/>
            </w:tcMar>
            <w:vAlign w:val="center"/>
          </w:tcPr>
          <w:p>
            <w:pPr>
              <w:jc w:val="left"/>
            </w:pPr>
            <w:r>
              <w:rPr>
                <w:rFonts w:ascii="Calibri" w:hAnsi="Calibri"/>
                <w:b w:val="0"/>
                <w:i w:val="0"/>
                <w:color w:val="1F2937"/>
                <w:sz w:val="18"/>
              </w:rPr>
              <w:t>Snapshot</w:t>
            </w:r>
          </w:p>
        </w:tc>
        <w:tc>
          <w:tcPr>
            <w:tcW w:type="dxa" w:w="2700"/>
            <w:tcMar>
              <w:top w:w="100" w:type="dxa"/>
              <w:start w:w="120" w:type="dxa"/>
              <w:bottom w:w="100" w:type="dxa"/>
              <w:end w:w="120" w:type="dxa"/>
            </w:tcMar>
            <w:vAlign w:val="center"/>
          </w:tcPr>
          <w:p>
            <w:pPr>
              <w:jc w:val="center"/>
            </w:pPr>
            <w:r>
              <w:rPr>
                <w:rFonts w:ascii="Calibri" w:hAnsi="Calibri"/>
                <w:b w:val="0"/>
                <w:i w:val="0"/>
                <w:color w:val="1F2937"/>
                <w:sz w:val="18"/>
              </w:rPr>
              <w:t>2022-03</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96.6%</w:t>
            </w:r>
          </w:p>
        </w:tc>
        <w:tc>
          <w:tcPr>
            <w:tcW w:type="dxa" w:w="2700"/>
            <w:tcMar>
              <w:top w:w="100" w:type="dxa"/>
              <w:start w:w="120" w:type="dxa"/>
              <w:bottom w:w="100" w:type="dxa"/>
              <w:end w:w="120" w:type="dxa"/>
            </w:tcMar>
            <w:vAlign w:val="center"/>
          </w:tcPr>
          <w:p>
            <w:pPr>
              <w:jc w:val="center"/>
            </w:pPr>
            <w:r>
              <w:rPr>
                <w:rFonts w:ascii="Calibri" w:hAnsi="Calibri"/>
                <w:b w:val="0"/>
                <w:i w:val="0"/>
                <w:color w:val="1F2937"/>
                <w:sz w:val="18"/>
              </w:rPr>
              <w:t>2023-03</w:t>
            </w:r>
          </w:p>
        </w:tc>
        <w:tc>
          <w:tcPr>
            <w:tcW w:type="dxa" w:w="1455"/>
            <w:tcMar>
              <w:top w:w="100" w:type="dxa"/>
              <w:start w:w="120" w:type="dxa"/>
              <w:bottom w:w="100" w:type="dxa"/>
              <w:end w:w="120" w:type="dxa"/>
            </w:tcMar>
            <w:vAlign w:val="center"/>
          </w:tcPr>
          <w:p>
            <w:pPr>
              <w:jc w:val="center"/>
            </w:pPr>
            <w:r>
              <w:rPr>
                <w:rFonts w:ascii="Calibri" w:hAnsi="Calibri"/>
                <w:b w:val="0"/>
                <w:i w:val="0"/>
                <w:color w:val="1F2937"/>
                <w:sz w:val="18"/>
              </w:rPr>
              <w:t>80.3%</w:t>
            </w:r>
          </w:p>
        </w:tc>
      </w:tr>
      <w:tr>
        <w:trPr>
          <w:cantSplit/>
        </w:trPr>
        <w:tc>
          <w:tcPr>
            <w:tcW w:type="dxa" w:w="1850"/>
            <w:shd w:fill="F7FBFE"/>
            <w:tcMar>
              <w:top w:w="100" w:type="dxa"/>
              <w:start w:w="120" w:type="dxa"/>
              <w:bottom w:w="100" w:type="dxa"/>
              <w:end w:w="120" w:type="dxa"/>
            </w:tcMar>
            <w:vAlign w:val="center"/>
          </w:tcPr>
          <w:p>
            <w:pPr>
              <w:jc w:val="left"/>
            </w:pPr>
            <w:r>
              <w:rPr>
                <w:rFonts w:ascii="Calibri" w:hAnsi="Calibri"/>
                <w:b w:val="0"/>
                <w:i w:val="0"/>
                <w:color w:val="1F2937"/>
                <w:sz w:val="18"/>
              </w:rPr>
              <w:t>Passenger airline</w:t>
            </w:r>
          </w:p>
        </w:tc>
        <w:tc>
          <w:tcPr>
            <w:tcW w:type="dxa" w:w="2700"/>
            <w:shd w:fill="F7FBFE"/>
            <w:tcMar>
              <w:top w:w="100" w:type="dxa"/>
              <w:start w:w="120" w:type="dxa"/>
              <w:bottom w:w="100" w:type="dxa"/>
              <w:end w:w="120" w:type="dxa"/>
            </w:tcMar>
            <w:vAlign w:val="center"/>
          </w:tcPr>
          <w:p>
            <w:pPr>
              <w:jc w:val="center"/>
            </w:pPr>
            <w:r>
              <w:rPr>
                <w:rFonts w:ascii="Calibri" w:hAnsi="Calibri"/>
                <w:b w:val="0"/>
                <w:i w:val="0"/>
                <w:color w:val="1F2937"/>
                <w:sz w:val="18"/>
              </w:rPr>
              <w:t>RYR (1,387 flights)</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89.1%</w:t>
            </w:r>
          </w:p>
        </w:tc>
        <w:tc>
          <w:tcPr>
            <w:tcW w:type="dxa" w:w="2700"/>
            <w:shd w:fill="F7FBFE"/>
            <w:tcMar>
              <w:top w:w="100" w:type="dxa"/>
              <w:start w:w="120" w:type="dxa"/>
              <w:bottom w:w="100" w:type="dxa"/>
              <w:end w:w="120" w:type="dxa"/>
            </w:tcMar>
            <w:vAlign w:val="center"/>
          </w:tcPr>
          <w:p>
            <w:pPr>
              <w:jc w:val="center"/>
            </w:pPr>
            <w:r>
              <w:rPr>
                <w:rFonts w:ascii="Calibri" w:hAnsi="Calibri"/>
                <w:b w:val="0"/>
                <w:i w:val="0"/>
                <w:color w:val="1F2937"/>
                <w:sz w:val="18"/>
              </w:rPr>
              <w:t>AEA (1,055 flights)</w:t>
            </w:r>
          </w:p>
        </w:tc>
        <w:tc>
          <w:tcPr>
            <w:tcW w:type="dxa" w:w="1455"/>
            <w:shd w:fill="F7FBFE"/>
            <w:tcMar>
              <w:top w:w="100" w:type="dxa"/>
              <w:start w:w="120" w:type="dxa"/>
              <w:bottom w:w="100" w:type="dxa"/>
              <w:end w:w="120" w:type="dxa"/>
            </w:tcMar>
            <w:vAlign w:val="center"/>
          </w:tcPr>
          <w:p>
            <w:pPr>
              <w:jc w:val="center"/>
            </w:pPr>
            <w:r>
              <w:rPr>
                <w:rFonts w:ascii="Calibri" w:hAnsi="Calibri"/>
                <w:b w:val="0"/>
                <w:i w:val="0"/>
                <w:color w:val="1F2937"/>
                <w:sz w:val="18"/>
              </w:rPr>
              <w:t>87.0%</w:t>
            </w:r>
          </w:p>
        </w:tc>
      </w:tr>
      <w:tr>
        <w:trPr>
          <w:cantSplit/>
        </w:trPr>
        <w:tc>
          <w:tcPr>
            <w:tcW w:type="dxa" w:w="1850"/>
            <w:tcMar>
              <w:top w:w="100" w:type="dxa"/>
              <w:start w:w="120" w:type="dxa"/>
              <w:bottom w:w="100" w:type="dxa"/>
              <w:end w:w="120" w:type="dxa"/>
            </w:tcMar>
            <w:vAlign w:val="center"/>
          </w:tcPr>
          <w:p>
            <w:pPr>
              <w:jc w:val="left"/>
            </w:pPr>
            <w:r>
              <w:rPr>
                <w:rFonts w:ascii="Calibri" w:hAnsi="Calibri"/>
                <w:b w:val="0"/>
                <w:i w:val="0"/>
                <w:color w:val="1F2937"/>
                <w:sz w:val="18"/>
              </w:rPr>
              <w:t>Scheduled departure hour</w:t>
            </w:r>
          </w:p>
        </w:tc>
        <w:tc>
          <w:tcPr>
            <w:tcW w:type="dxa" w:w="2700"/>
            <w:tcMar>
              <w:top w:w="100" w:type="dxa"/>
              <w:start w:w="120" w:type="dxa"/>
              <w:bottom w:w="100" w:type="dxa"/>
              <w:end w:w="120" w:type="dxa"/>
            </w:tcMar>
            <w:vAlign w:val="center"/>
          </w:tcPr>
          <w:p>
            <w:pPr>
              <w:jc w:val="center"/>
            </w:pPr>
            <w:r>
              <w:rPr>
                <w:rFonts w:ascii="Calibri" w:hAnsi="Calibri"/>
                <w:b w:val="0"/>
                <w:i w:val="0"/>
                <w:color w:val="1F2937"/>
                <w:sz w:val="18"/>
              </w:rPr>
              <w:t>05:00 (430 flights)</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96.3%</w:t>
            </w:r>
          </w:p>
        </w:tc>
        <w:tc>
          <w:tcPr>
            <w:tcW w:type="dxa" w:w="2700"/>
            <w:tcMar>
              <w:top w:w="100" w:type="dxa"/>
              <w:start w:w="120" w:type="dxa"/>
              <w:bottom w:w="100" w:type="dxa"/>
              <w:end w:w="120" w:type="dxa"/>
            </w:tcMar>
            <w:vAlign w:val="center"/>
          </w:tcPr>
          <w:p>
            <w:pPr>
              <w:jc w:val="center"/>
            </w:pPr>
            <w:r>
              <w:rPr>
                <w:rFonts w:ascii="Calibri" w:hAnsi="Calibri"/>
                <w:b w:val="0"/>
                <w:i w:val="0"/>
                <w:color w:val="1F2937"/>
                <w:sz w:val="18"/>
              </w:rPr>
              <w:t>12:00 (127 flights)</w:t>
            </w:r>
          </w:p>
        </w:tc>
        <w:tc>
          <w:tcPr>
            <w:tcW w:type="dxa" w:w="1455"/>
            <w:tcMar>
              <w:top w:w="100" w:type="dxa"/>
              <w:start w:w="120" w:type="dxa"/>
              <w:bottom w:w="100" w:type="dxa"/>
              <w:end w:w="120" w:type="dxa"/>
            </w:tcMar>
            <w:vAlign w:val="center"/>
          </w:tcPr>
          <w:p>
            <w:pPr>
              <w:jc w:val="center"/>
            </w:pPr>
            <w:r>
              <w:rPr>
                <w:rFonts w:ascii="Calibri" w:hAnsi="Calibri"/>
                <w:b w:val="0"/>
                <w:i w:val="0"/>
                <w:color w:val="1F2937"/>
                <w:sz w:val="18"/>
              </w:rPr>
              <w:t>80.3%</w:t>
            </w:r>
          </w:p>
        </w:tc>
      </w:tr>
    </w:tbl>
    <w:p>
      <w:pPr>
        <w:spacing w:after="20"/>
      </w:pPr>
    </w:p>
    <w:p>
      <w:pPr>
        <w:pStyle w:val="Heading3"/>
      </w:pPr>
      <w:r>
        <w:t>Largest observed arrival delays in the corridor</w:t>
      </w:r>
    </w:p>
    <w:tbl>
      <w:tblPr>
        <w:tblW w:type="dxa" w:w="10205"/>
        <w:tblLayout w:type="fixed"/>
        <w:tblLook w:firstColumn="1" w:firstRow="1" w:lastColumn="0" w:lastRow="0" w:noHBand="0" w:noVBand="1" w:val="04A0"/>
        <w:jc w:val="left"/>
        <w:tblInd w:w="120" w:type="dxa"/>
      </w:tblPr>
      <w:tblGrid>
        <w:gridCol w:w="1900"/>
        <w:gridCol w:w="2200"/>
        <w:gridCol w:w="1500"/>
        <w:gridCol w:w="2300"/>
        <w:gridCol w:w="2305"/>
      </w:tblGrid>
      <w:tr>
        <w:trPr>
          <w:tblHeader/>
          <w:cantSplit/>
        </w:trPr>
        <w:tc>
          <w:tcPr>
            <w:tcW w:type="dxa" w:w="1900"/>
            <w:tcMar>
              <w:top w:w="100" w:type="dxa"/>
              <w:start w:w="120" w:type="dxa"/>
              <w:bottom w:w="100" w:type="dxa"/>
              <w:end w:w="120" w:type="dxa"/>
            </w:tcMar>
            <w:vAlign w:val="center"/>
            <w:shd w:fill="1F4E78"/>
          </w:tcPr>
          <w:p>
            <w:pPr>
              <w:jc w:val="center"/>
            </w:pPr>
            <w:r>
              <w:rPr>
                <w:rFonts w:ascii="Calibri" w:hAnsi="Calibri"/>
                <w:b/>
                <w:i w:val="0"/>
                <w:color w:val="FFFFFF"/>
                <w:sz w:val="18"/>
              </w:rPr>
              <w:t>Date</w:t>
            </w:r>
          </w:p>
        </w:tc>
        <w:tc>
          <w:tcPr>
            <w:tcW w:type="dxa" w:w="2200"/>
            <w:tcMar>
              <w:top w:w="100" w:type="dxa"/>
              <w:start w:w="120" w:type="dxa"/>
              <w:bottom w:w="100" w:type="dxa"/>
              <w:end w:w="120" w:type="dxa"/>
            </w:tcMar>
            <w:vAlign w:val="center"/>
            <w:shd w:fill="1F4E78"/>
          </w:tcPr>
          <w:p>
            <w:pPr>
              <w:jc w:val="center"/>
            </w:pPr>
            <w:r>
              <w:rPr>
                <w:rFonts w:ascii="Calibri" w:hAnsi="Calibri"/>
                <w:b/>
                <w:i w:val="0"/>
                <w:color w:val="FFFFFF"/>
                <w:sz w:val="18"/>
              </w:rPr>
              <w:t>Route</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Operator</w:t>
            </w:r>
          </w:p>
        </w:tc>
        <w:tc>
          <w:tcPr>
            <w:tcW w:type="dxa" w:w="2300"/>
            <w:tcMar>
              <w:top w:w="100" w:type="dxa"/>
              <w:start w:w="120" w:type="dxa"/>
              <w:bottom w:w="100" w:type="dxa"/>
              <w:end w:w="120" w:type="dxa"/>
            </w:tcMar>
            <w:vAlign w:val="center"/>
            <w:shd w:fill="1F4E78"/>
          </w:tcPr>
          <w:p>
            <w:pPr>
              <w:jc w:val="center"/>
            </w:pPr>
            <w:r>
              <w:rPr>
                <w:rFonts w:ascii="Calibri" w:hAnsi="Calibri"/>
                <w:b/>
                <w:i w:val="0"/>
                <w:color w:val="FFFFFF"/>
                <w:sz w:val="18"/>
              </w:rPr>
              <w:t>Scheduled duration</w:t>
            </w:r>
          </w:p>
        </w:tc>
        <w:tc>
          <w:tcPr>
            <w:tcW w:type="dxa" w:w="2305"/>
            <w:tcMar>
              <w:top w:w="100" w:type="dxa"/>
              <w:start w:w="120" w:type="dxa"/>
              <w:bottom w:w="100" w:type="dxa"/>
              <w:end w:w="120" w:type="dxa"/>
            </w:tcMar>
            <w:vAlign w:val="center"/>
            <w:shd w:fill="1F4E78"/>
          </w:tcPr>
          <w:p>
            <w:pPr>
              <w:jc w:val="center"/>
            </w:pPr>
            <w:r>
              <w:rPr>
                <w:rFonts w:ascii="Calibri" w:hAnsi="Calibri"/>
                <w:b/>
                <w:i w:val="0"/>
                <w:color w:val="FFFFFF"/>
                <w:sz w:val="18"/>
              </w:rPr>
              <w:t>Arrival delay</w:t>
            </w:r>
          </w:p>
        </w:tc>
      </w:tr>
      <w:tr>
        <w:trPr>
          <w:cantSplit/>
        </w:trPr>
        <w:tc>
          <w:tcPr>
            <w:tcW w:type="dxa" w:w="1900"/>
            <w:tcMar>
              <w:top w:w="100" w:type="dxa"/>
              <w:start w:w="120" w:type="dxa"/>
              <w:bottom w:w="100" w:type="dxa"/>
              <w:end w:w="120" w:type="dxa"/>
            </w:tcMar>
            <w:vAlign w:val="center"/>
          </w:tcPr>
          <w:p>
            <w:pPr>
              <w:jc w:val="left"/>
            </w:pPr>
            <w:r>
              <w:rPr>
                <w:rFonts w:ascii="Calibri" w:hAnsi="Calibri"/>
                <w:b w:val="0"/>
                <w:i w:val="0"/>
                <w:color w:val="1F2937"/>
                <w:sz w:val="18"/>
              </w:rPr>
              <w:t>2023-06-01</w:t>
            </w:r>
          </w:p>
        </w:tc>
        <w:tc>
          <w:tcPr>
            <w:tcW w:type="dxa" w:w="2200"/>
            <w:tcMar>
              <w:top w:w="100" w:type="dxa"/>
              <w:start w:w="120" w:type="dxa"/>
              <w:bottom w:w="100" w:type="dxa"/>
              <w:end w:w="120" w:type="dxa"/>
            </w:tcMar>
            <w:vAlign w:val="center"/>
          </w:tcPr>
          <w:p>
            <w:pPr>
              <w:jc w:val="center"/>
            </w:pPr>
            <w:r>
              <w:rPr>
                <w:rFonts w:ascii="Calibri" w:hAnsi="Calibri"/>
                <w:b w:val="0"/>
                <w:i w:val="0"/>
                <w:color w:val="1F2937"/>
                <w:sz w:val="18"/>
              </w:rPr>
              <w:t>LEMD -&gt; LIML</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IBE</w:t>
            </w:r>
          </w:p>
        </w:tc>
        <w:tc>
          <w:tcPr>
            <w:tcW w:type="dxa" w:w="2300"/>
            <w:tcMar>
              <w:top w:w="100" w:type="dxa"/>
              <w:start w:w="120" w:type="dxa"/>
              <w:bottom w:w="100" w:type="dxa"/>
              <w:end w:w="120" w:type="dxa"/>
            </w:tcMar>
            <w:vAlign w:val="center"/>
          </w:tcPr>
          <w:p>
            <w:pPr>
              <w:jc w:val="center"/>
            </w:pPr>
            <w:r>
              <w:rPr>
                <w:rFonts w:ascii="Calibri" w:hAnsi="Calibri"/>
                <w:b w:val="0"/>
                <w:i w:val="0"/>
                <w:color w:val="1F2937"/>
                <w:sz w:val="18"/>
              </w:rPr>
              <w:t>117 min</w:t>
            </w:r>
          </w:p>
        </w:tc>
        <w:tc>
          <w:tcPr>
            <w:tcW w:type="dxa" w:w="2305"/>
            <w:tcMar>
              <w:top w:w="100" w:type="dxa"/>
              <w:start w:w="120" w:type="dxa"/>
              <w:bottom w:w="100" w:type="dxa"/>
              <w:end w:w="120" w:type="dxa"/>
            </w:tcMar>
            <w:vAlign w:val="center"/>
          </w:tcPr>
          <w:p>
            <w:pPr>
              <w:jc w:val="center"/>
            </w:pPr>
            <w:r>
              <w:rPr>
                <w:rFonts w:ascii="Calibri" w:hAnsi="Calibri"/>
                <w:b w:val="0"/>
                <w:i w:val="0"/>
                <w:color w:val="1F2937"/>
                <w:sz w:val="18"/>
              </w:rPr>
              <w:t>113 min</w:t>
            </w:r>
          </w:p>
        </w:tc>
      </w:tr>
      <w:tr>
        <w:trPr>
          <w:cantSplit/>
        </w:trPr>
        <w:tc>
          <w:tcPr>
            <w:tcW w:type="dxa" w:w="1900"/>
            <w:shd w:fill="F7FBFE"/>
            <w:tcMar>
              <w:top w:w="100" w:type="dxa"/>
              <w:start w:w="120" w:type="dxa"/>
              <w:bottom w:w="100" w:type="dxa"/>
              <w:end w:w="120" w:type="dxa"/>
            </w:tcMar>
            <w:vAlign w:val="center"/>
          </w:tcPr>
          <w:p>
            <w:pPr>
              <w:jc w:val="left"/>
            </w:pPr>
            <w:r>
              <w:rPr>
                <w:rFonts w:ascii="Calibri" w:hAnsi="Calibri"/>
                <w:b w:val="0"/>
                <w:i w:val="0"/>
                <w:color w:val="1F2937"/>
                <w:sz w:val="18"/>
              </w:rPr>
              <w:t>2023-06-01</w:t>
            </w:r>
          </w:p>
        </w:tc>
        <w:tc>
          <w:tcPr>
            <w:tcW w:type="dxa" w:w="2200"/>
            <w:shd w:fill="F7FBFE"/>
            <w:tcMar>
              <w:top w:w="100" w:type="dxa"/>
              <w:start w:w="120" w:type="dxa"/>
              <w:bottom w:w="100" w:type="dxa"/>
              <w:end w:w="120" w:type="dxa"/>
            </w:tcMar>
            <w:vAlign w:val="center"/>
          </w:tcPr>
          <w:p>
            <w:pPr>
              <w:jc w:val="center"/>
            </w:pPr>
            <w:r>
              <w:rPr>
                <w:rFonts w:ascii="Calibri" w:hAnsi="Calibri"/>
                <w:b w:val="0"/>
                <w:i w:val="0"/>
                <w:color w:val="1F2937"/>
                <w:sz w:val="18"/>
              </w:rPr>
              <w:t>LEMD -&gt; LIMC</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IBE</w:t>
            </w:r>
          </w:p>
        </w:tc>
        <w:tc>
          <w:tcPr>
            <w:tcW w:type="dxa" w:w="2300"/>
            <w:shd w:fill="F7FBFE"/>
            <w:tcMar>
              <w:top w:w="100" w:type="dxa"/>
              <w:start w:w="120" w:type="dxa"/>
              <w:bottom w:w="100" w:type="dxa"/>
              <w:end w:w="120" w:type="dxa"/>
            </w:tcMar>
            <w:vAlign w:val="center"/>
          </w:tcPr>
          <w:p>
            <w:pPr>
              <w:jc w:val="center"/>
            </w:pPr>
            <w:r>
              <w:rPr>
                <w:rFonts w:ascii="Calibri" w:hAnsi="Calibri"/>
                <w:b w:val="0"/>
                <w:i w:val="0"/>
                <w:color w:val="1F2937"/>
                <w:sz w:val="18"/>
              </w:rPr>
              <w:t>135 min</w:t>
            </w:r>
          </w:p>
        </w:tc>
        <w:tc>
          <w:tcPr>
            <w:tcW w:type="dxa" w:w="2305"/>
            <w:shd w:fill="F7FBFE"/>
            <w:tcMar>
              <w:top w:w="100" w:type="dxa"/>
              <w:start w:w="120" w:type="dxa"/>
              <w:bottom w:w="100" w:type="dxa"/>
              <w:end w:w="120" w:type="dxa"/>
            </w:tcMar>
            <w:vAlign w:val="center"/>
          </w:tcPr>
          <w:p>
            <w:pPr>
              <w:jc w:val="center"/>
            </w:pPr>
            <w:r>
              <w:rPr>
                <w:rFonts w:ascii="Calibri" w:hAnsi="Calibri"/>
                <w:b w:val="0"/>
                <w:i w:val="0"/>
                <w:color w:val="1F2937"/>
                <w:sz w:val="18"/>
              </w:rPr>
              <w:t>109 min</w:t>
            </w:r>
          </w:p>
        </w:tc>
      </w:tr>
      <w:tr>
        <w:trPr>
          <w:cantSplit/>
        </w:trPr>
        <w:tc>
          <w:tcPr>
            <w:tcW w:type="dxa" w:w="1900"/>
            <w:tcMar>
              <w:top w:w="100" w:type="dxa"/>
              <w:start w:w="120" w:type="dxa"/>
              <w:bottom w:w="100" w:type="dxa"/>
              <w:end w:w="120" w:type="dxa"/>
            </w:tcMar>
            <w:vAlign w:val="center"/>
          </w:tcPr>
          <w:p>
            <w:pPr>
              <w:jc w:val="left"/>
            </w:pPr>
            <w:r>
              <w:rPr>
                <w:rFonts w:ascii="Calibri" w:hAnsi="Calibri"/>
                <w:b w:val="0"/>
                <w:i w:val="0"/>
                <w:color w:val="1F2937"/>
                <w:sz w:val="18"/>
              </w:rPr>
              <w:t>2022-06-24</w:t>
            </w:r>
          </w:p>
        </w:tc>
        <w:tc>
          <w:tcPr>
            <w:tcW w:type="dxa" w:w="2200"/>
            <w:tcMar>
              <w:top w:w="100" w:type="dxa"/>
              <w:start w:w="120" w:type="dxa"/>
              <w:bottom w:w="100" w:type="dxa"/>
              <w:end w:w="120" w:type="dxa"/>
            </w:tcMar>
            <w:vAlign w:val="center"/>
          </w:tcPr>
          <w:p>
            <w:pPr>
              <w:jc w:val="center"/>
            </w:pPr>
            <w:r>
              <w:rPr>
                <w:rFonts w:ascii="Calibri" w:hAnsi="Calibri"/>
                <w:b w:val="0"/>
                <w:i w:val="0"/>
                <w:color w:val="1F2937"/>
                <w:sz w:val="18"/>
              </w:rPr>
              <w:t>LEMD -&gt; LIMC</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AEA</w:t>
            </w:r>
          </w:p>
        </w:tc>
        <w:tc>
          <w:tcPr>
            <w:tcW w:type="dxa" w:w="2300"/>
            <w:tcMar>
              <w:top w:w="100" w:type="dxa"/>
              <w:start w:w="120" w:type="dxa"/>
              <w:bottom w:w="100" w:type="dxa"/>
              <w:end w:w="120" w:type="dxa"/>
            </w:tcMar>
            <w:vAlign w:val="center"/>
          </w:tcPr>
          <w:p>
            <w:pPr>
              <w:jc w:val="center"/>
            </w:pPr>
            <w:r>
              <w:rPr>
                <w:rFonts w:ascii="Calibri" w:hAnsi="Calibri"/>
                <w:b w:val="0"/>
                <w:i w:val="0"/>
                <w:color w:val="1F2937"/>
                <w:sz w:val="18"/>
              </w:rPr>
              <w:t>116 min</w:t>
            </w:r>
          </w:p>
        </w:tc>
        <w:tc>
          <w:tcPr>
            <w:tcW w:type="dxa" w:w="2305"/>
            <w:tcMar>
              <w:top w:w="100" w:type="dxa"/>
              <w:start w:w="120" w:type="dxa"/>
              <w:bottom w:w="100" w:type="dxa"/>
              <w:end w:w="120" w:type="dxa"/>
            </w:tcMar>
            <w:vAlign w:val="center"/>
          </w:tcPr>
          <w:p>
            <w:pPr>
              <w:jc w:val="center"/>
            </w:pPr>
            <w:r>
              <w:rPr>
                <w:rFonts w:ascii="Calibri" w:hAnsi="Calibri"/>
                <w:b w:val="0"/>
                <w:i w:val="0"/>
                <w:color w:val="1F2937"/>
                <w:sz w:val="18"/>
              </w:rPr>
              <w:t>102 min</w:t>
            </w:r>
          </w:p>
        </w:tc>
      </w:tr>
    </w:tbl>
    <w:p>
      <w:pPr>
        <w:spacing w:after="20"/>
      </w:pPr>
    </w:p>
    <w:p>
      <w:r>
        <w:rPr>
          <w:rFonts w:ascii="Calibri" w:hAnsi="Calibri"/>
          <w:b w:val="0"/>
          <w:i w:val="0"/>
          <w:color w:val="1F2937"/>
          <w:sz w:val="24"/>
        </w:rPr>
        <w:t>This is how EUROCONTROL data supports action: identify a corridor deterioration, locate the affected months and hours, compare the operators serving the same market, and then retrieve individual records for operational audit. The records are examples, not proof that the operator caused the delay; weather, reactionary delay, airport constraints and schedule definitions are not yet controlled.</w:t>
      </w:r>
    </w:p>
    <w:p>
      <w:pPr>
        <w:pStyle w:val="Heading2"/>
        <w:pageBreakBefore/>
      </w:pPr>
      <w:r>
        <w:t>Highest-volume route context</w:t>
      </w:r>
    </w:p>
    <w:p>
      <w:pPr>
        <w:keepNext/>
        <w:jc w:val="center"/>
      </w:pPr>
      <w:r>
        <w:drawing>
          <wp:inline xmlns:a="http://schemas.openxmlformats.org/drawingml/2006/main" xmlns:pic="http://schemas.openxmlformats.org/drawingml/2006/picture">
            <wp:extent cx="6300000" cy="3556385"/>
            <wp:docPr id="13" name="Picture 13" descr="Figure 9. Flight volume and delay-above-15 rate on the highest-volume eligible directional routes."/>
            <wp:cNvGraphicFramePr>
              <a:graphicFrameLocks noChangeAspect="1"/>
            </wp:cNvGraphicFramePr>
            <a:graphic>
              <a:graphicData uri="http://schemas.openxmlformats.org/drawingml/2006/picture">
                <pic:pic>
                  <pic:nvPicPr>
                    <pic:cNvPr id="0" name="top_route_comparison.png"/>
                    <pic:cNvPicPr/>
                  </pic:nvPicPr>
                  <pic:blipFill>
                    <a:blip r:embed="rId23"/>
                    <a:stretch>
                      <a:fillRect/>
                    </a:stretch>
                  </pic:blipFill>
                  <pic:spPr>
                    <a:xfrm>
                      <a:off x="0" y="0"/>
                      <a:ext cx="6300000" cy="3556385"/>
                    </a:xfrm>
                    <a:prstGeom prst="rect"/>
                  </pic:spPr>
                </pic:pic>
              </a:graphicData>
            </a:graphic>
          </wp:inline>
        </w:drawing>
      </w:r>
    </w:p>
    <w:p>
      <w:pPr>
        <w:spacing w:before="40" w:after="40"/>
        <w:jc w:val="center"/>
      </w:pPr>
      <w:r>
        <w:rPr>
          <w:rFonts w:ascii="Calibri" w:hAnsi="Calibri"/>
          <w:b w:val="0"/>
          <w:i/>
          <w:color w:val="667085"/>
          <w:sz w:val="18"/>
        </w:rPr>
        <w:t>Figure 9. Flight volume and delay-above-15 rate on the highest-volume eligible directional routes.</w:t>
      </w:r>
    </w:p>
    <w:p>
      <w:pPr>
        <w:spacing w:before="0" w:after="120"/>
        <w:jc w:val="center"/>
      </w:pPr>
      <w:r>
        <w:rPr>
          <w:rFonts w:ascii="Calibri" w:hAnsi="Calibri"/>
          <w:b w:val="0"/>
          <w:i w:val="0"/>
          <w:color w:val="667085"/>
          <w:sz w:val="17"/>
        </w:rPr>
        <w:t>Executive route eligibility is at least 20 flights and three periods; the display is restricted to the largest routes.</w:t>
      </w:r>
    </w:p>
    <w:p>
      <w:pPr>
        <w:pStyle w:val="Heading2"/>
        <w:pageBreakBefore/>
      </w:pPr>
      <w:r>
        <w:t>Executive exceptions: time, routes and carriers</w:t>
      </w:r>
    </w:p>
    <w:p>
      <w:r>
        <w:rPr>
          <w:rFonts w:ascii="Calibri" w:hAnsi="Calibri"/>
          <w:b w:val="0"/>
          <w:i w:val="0"/>
          <w:color w:val="1F2937"/>
          <w:sz w:val="24"/>
        </w:rPr>
        <w:t>This page restores the operational exceptions hidden by the high-volume overview. Day-by-hour cells use observed arrivals only; route and carrier results remain descriptive screens, not causal performance scores.</w:t>
      </w:r>
    </w:p>
    <w:tbl>
      <w:tblPr>
        <w:tblW w:type="dxa" w:w="10205"/>
        <w:tblLayout w:type="fixed"/>
        <w:tblLook w:firstColumn="1" w:firstRow="1" w:lastColumn="0" w:lastRow="0" w:noHBand="0" w:noVBand="1" w:val="04A0"/>
        <w:jc w:val="left"/>
        <w:tblInd w:w="120" w:type="dxa"/>
      </w:tblPr>
      <w:tblGrid>
        <w:gridCol w:w="1200"/>
        <w:gridCol w:w="2850"/>
        <w:gridCol w:w="1700"/>
        <w:gridCol w:w="1450"/>
        <w:gridCol w:w="3005"/>
      </w:tblGrid>
      <w:tr>
        <w:trPr>
          <w:tblHeader/>
          <w:cantSplit/>
        </w:trPr>
        <w:tc>
          <w:tcPr>
            <w:tcW w:type="dxa" w:w="1200"/>
            <w:tcMar>
              <w:top w:w="100" w:type="dxa"/>
              <w:start w:w="120" w:type="dxa"/>
              <w:bottom w:w="100" w:type="dxa"/>
              <w:end w:w="120" w:type="dxa"/>
            </w:tcMar>
            <w:vAlign w:val="center"/>
            <w:shd w:fill="1F4E78"/>
          </w:tcPr>
          <w:p>
            <w:pPr>
              <w:jc w:val="center"/>
            </w:pPr>
            <w:r>
              <w:rPr>
                <w:rFonts w:ascii="Calibri" w:hAnsi="Calibri"/>
                <w:b/>
                <w:i w:val="0"/>
                <w:color w:val="FFFFFF"/>
                <w:sz w:val="18"/>
              </w:rPr>
              <w:t>Screen</w:t>
            </w:r>
          </w:p>
        </w:tc>
        <w:tc>
          <w:tcPr>
            <w:tcW w:type="dxa" w:w="2850"/>
            <w:tcMar>
              <w:top w:w="100" w:type="dxa"/>
              <w:start w:w="120" w:type="dxa"/>
              <w:bottom w:w="100" w:type="dxa"/>
              <w:end w:w="120" w:type="dxa"/>
            </w:tcMar>
            <w:vAlign w:val="center"/>
            <w:shd w:fill="1F4E78"/>
          </w:tcPr>
          <w:p>
            <w:pPr>
              <w:jc w:val="center"/>
            </w:pPr>
            <w:r>
              <w:rPr>
                <w:rFonts w:ascii="Calibri" w:hAnsi="Calibri"/>
                <w:b/>
                <w:i w:val="0"/>
                <w:color w:val="FFFFFF"/>
                <w:sz w:val="18"/>
              </w:rPr>
              <w:t>Scheduled departure window</w:t>
            </w:r>
          </w:p>
        </w:tc>
        <w:tc>
          <w:tcPr>
            <w:tcW w:type="dxa" w:w="1700"/>
            <w:tcMar>
              <w:top w:w="100" w:type="dxa"/>
              <w:start w:w="120" w:type="dxa"/>
              <w:bottom w:w="100" w:type="dxa"/>
              <w:end w:w="120" w:type="dxa"/>
            </w:tcMar>
            <w:vAlign w:val="center"/>
            <w:shd w:fill="1F4E78"/>
          </w:tcPr>
          <w:p>
            <w:pPr>
              <w:jc w:val="center"/>
            </w:pPr>
            <w:r>
              <w:rPr>
                <w:rFonts w:ascii="Calibri" w:hAnsi="Calibri"/>
                <w:b/>
                <w:i w:val="0"/>
                <w:color w:val="FFFFFF"/>
                <w:sz w:val="18"/>
              </w:rPr>
              <w:t>Flights</w:t>
            </w:r>
          </w:p>
        </w:tc>
        <w:tc>
          <w:tcPr>
            <w:tcW w:type="dxa" w:w="1450"/>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c>
          <w:tcPr>
            <w:tcW w:type="dxa" w:w="3005"/>
            <w:tcMar>
              <w:top w:w="100" w:type="dxa"/>
              <w:start w:w="120" w:type="dxa"/>
              <w:bottom w:w="100" w:type="dxa"/>
              <w:end w:w="120" w:type="dxa"/>
            </w:tcMar>
            <w:vAlign w:val="center"/>
            <w:shd w:fill="1F4E78"/>
          </w:tcPr>
          <w:p>
            <w:pPr>
              <w:jc w:val="center"/>
            </w:pPr>
            <w:r>
              <w:rPr>
                <w:rFonts w:ascii="Calibri" w:hAnsi="Calibri"/>
                <w:b/>
                <w:i w:val="0"/>
                <w:color w:val="FFFFFF"/>
                <w:sz w:val="18"/>
              </w:rPr>
              <w:t>Wilson 95%</w:t>
            </w:r>
          </w:p>
        </w:tc>
      </w:tr>
      <w:tr>
        <w:trPr>
          <w:cantSplit/>
        </w:trPr>
        <w:tc>
          <w:tcPr>
            <w:tcW w:type="dxa" w:w="1200"/>
            <w:tcMar>
              <w:top w:w="100" w:type="dxa"/>
              <w:start w:w="120" w:type="dxa"/>
              <w:bottom w:w="100" w:type="dxa"/>
              <w:end w:w="120" w:type="dxa"/>
            </w:tcMar>
            <w:vAlign w:val="center"/>
          </w:tcPr>
          <w:p>
            <w:pPr>
              <w:jc w:val="left"/>
            </w:pPr>
            <w:r>
              <w:rPr>
                <w:rFonts w:ascii="Calibri" w:hAnsi="Calibri"/>
                <w:b w:val="0"/>
                <w:i w:val="0"/>
                <w:color w:val="1F2937"/>
                <w:sz w:val="18"/>
              </w:rPr>
              <w:t>Best</w:t>
            </w:r>
          </w:p>
        </w:tc>
        <w:tc>
          <w:tcPr>
            <w:tcW w:type="dxa" w:w="2850"/>
            <w:tcMar>
              <w:top w:w="100" w:type="dxa"/>
              <w:start w:w="120" w:type="dxa"/>
              <w:bottom w:w="100" w:type="dxa"/>
              <w:end w:w="120" w:type="dxa"/>
            </w:tcMar>
            <w:vAlign w:val="center"/>
          </w:tcPr>
          <w:p>
            <w:pPr>
              <w:jc w:val="center"/>
            </w:pPr>
            <w:r>
              <w:rPr>
                <w:rFonts w:ascii="Calibri" w:hAnsi="Calibri"/>
                <w:b w:val="0"/>
                <w:i w:val="0"/>
                <w:color w:val="1F2937"/>
                <w:sz w:val="18"/>
              </w:rPr>
              <w:t>Tuesday 18:00</w:t>
            </w:r>
          </w:p>
        </w:tc>
        <w:tc>
          <w:tcPr>
            <w:tcW w:type="dxa" w:w="1700"/>
            <w:tcMar>
              <w:top w:w="100" w:type="dxa"/>
              <w:start w:w="120" w:type="dxa"/>
              <w:bottom w:w="100" w:type="dxa"/>
              <w:end w:w="120" w:type="dxa"/>
            </w:tcMar>
            <w:vAlign w:val="center"/>
          </w:tcPr>
          <w:p>
            <w:pPr>
              <w:jc w:val="center"/>
            </w:pPr>
            <w:r>
              <w:rPr>
                <w:rFonts w:ascii="Calibri" w:hAnsi="Calibri"/>
                <w:b w:val="0"/>
                <w:i w:val="0"/>
                <w:color w:val="1F2937"/>
                <w:sz w:val="18"/>
              </w:rPr>
              <w:t>35,566</w:t>
            </w:r>
          </w:p>
        </w:tc>
        <w:tc>
          <w:tcPr>
            <w:tcW w:type="dxa" w:w="1450"/>
            <w:tcMar>
              <w:top w:w="100" w:type="dxa"/>
              <w:start w:w="120" w:type="dxa"/>
              <w:bottom w:w="100" w:type="dxa"/>
              <w:end w:w="120" w:type="dxa"/>
            </w:tcMar>
            <w:vAlign w:val="center"/>
          </w:tcPr>
          <w:p>
            <w:pPr>
              <w:jc w:val="center"/>
            </w:pPr>
            <w:r>
              <w:rPr>
                <w:rFonts w:ascii="Calibri" w:hAnsi="Calibri"/>
                <w:b w:val="0"/>
                <w:i w:val="0"/>
                <w:color w:val="1F2937"/>
                <w:sz w:val="18"/>
              </w:rPr>
              <w:t>88.2%</w:t>
            </w:r>
          </w:p>
        </w:tc>
        <w:tc>
          <w:tcPr>
            <w:tcW w:type="dxa" w:w="3005"/>
            <w:tcMar>
              <w:top w:w="100" w:type="dxa"/>
              <w:start w:w="120" w:type="dxa"/>
              <w:bottom w:w="100" w:type="dxa"/>
              <w:end w:w="120" w:type="dxa"/>
            </w:tcMar>
            <w:vAlign w:val="center"/>
          </w:tcPr>
          <w:p>
            <w:pPr>
              <w:jc w:val="center"/>
            </w:pPr>
            <w:r>
              <w:rPr>
                <w:rFonts w:ascii="Calibri" w:hAnsi="Calibri"/>
                <w:b w:val="0"/>
                <w:i w:val="0"/>
                <w:color w:val="1F2937"/>
                <w:sz w:val="18"/>
              </w:rPr>
              <w:t>87.9–88.6%</w:t>
            </w:r>
          </w:p>
        </w:tc>
      </w:tr>
      <w:tr>
        <w:trPr>
          <w:cantSplit/>
        </w:trPr>
        <w:tc>
          <w:tcPr>
            <w:tcW w:type="dxa" w:w="1200"/>
            <w:shd w:fill="F7FBFE"/>
            <w:tcMar>
              <w:top w:w="100" w:type="dxa"/>
              <w:start w:w="120" w:type="dxa"/>
              <w:bottom w:w="100" w:type="dxa"/>
              <w:end w:w="120" w:type="dxa"/>
            </w:tcMar>
            <w:vAlign w:val="center"/>
          </w:tcPr>
          <w:p>
            <w:pPr>
              <w:jc w:val="left"/>
            </w:pPr>
            <w:r>
              <w:rPr>
                <w:rFonts w:ascii="Calibri" w:hAnsi="Calibri"/>
                <w:b w:val="0"/>
                <w:i w:val="0"/>
                <w:color w:val="1F2937"/>
                <w:sz w:val="18"/>
              </w:rPr>
              <w:t>Best</w:t>
            </w:r>
          </w:p>
        </w:tc>
        <w:tc>
          <w:tcPr>
            <w:tcW w:type="dxa" w:w="2850"/>
            <w:shd w:fill="F7FBFE"/>
            <w:tcMar>
              <w:top w:w="100" w:type="dxa"/>
              <w:start w:w="120" w:type="dxa"/>
              <w:bottom w:w="100" w:type="dxa"/>
              <w:end w:w="120" w:type="dxa"/>
            </w:tcMar>
            <w:vAlign w:val="center"/>
          </w:tcPr>
          <w:p>
            <w:pPr>
              <w:jc w:val="center"/>
            </w:pPr>
            <w:r>
              <w:rPr>
                <w:rFonts w:ascii="Calibri" w:hAnsi="Calibri"/>
                <w:b w:val="0"/>
                <w:i w:val="0"/>
                <w:color w:val="1F2937"/>
                <w:sz w:val="18"/>
              </w:rPr>
              <w:t>Tuesday 17:00</w:t>
            </w:r>
          </w:p>
        </w:tc>
        <w:tc>
          <w:tcPr>
            <w:tcW w:type="dxa" w:w="1700"/>
            <w:shd w:fill="F7FBFE"/>
            <w:tcMar>
              <w:top w:w="100" w:type="dxa"/>
              <w:start w:w="120" w:type="dxa"/>
              <w:bottom w:w="100" w:type="dxa"/>
              <w:end w:w="120" w:type="dxa"/>
            </w:tcMar>
            <w:vAlign w:val="center"/>
          </w:tcPr>
          <w:p>
            <w:pPr>
              <w:jc w:val="center"/>
            </w:pPr>
            <w:r>
              <w:rPr>
                <w:rFonts w:ascii="Calibri" w:hAnsi="Calibri"/>
                <w:b w:val="0"/>
                <w:i w:val="0"/>
                <w:color w:val="1F2937"/>
                <w:sz w:val="18"/>
              </w:rPr>
              <w:t>38,237</w:t>
            </w:r>
          </w:p>
        </w:tc>
        <w:tc>
          <w:tcPr>
            <w:tcW w:type="dxa" w:w="1450"/>
            <w:shd w:fill="F7FBFE"/>
            <w:tcMar>
              <w:top w:w="100" w:type="dxa"/>
              <w:start w:w="120" w:type="dxa"/>
              <w:bottom w:w="100" w:type="dxa"/>
              <w:end w:w="120" w:type="dxa"/>
            </w:tcMar>
            <w:vAlign w:val="center"/>
          </w:tcPr>
          <w:p>
            <w:pPr>
              <w:jc w:val="center"/>
            </w:pPr>
            <w:r>
              <w:rPr>
                <w:rFonts w:ascii="Calibri" w:hAnsi="Calibri"/>
                <w:b w:val="0"/>
                <w:i w:val="0"/>
                <w:color w:val="1F2937"/>
                <w:sz w:val="18"/>
              </w:rPr>
              <w:t>87.7%</w:t>
            </w:r>
          </w:p>
        </w:tc>
        <w:tc>
          <w:tcPr>
            <w:tcW w:type="dxa" w:w="3005"/>
            <w:shd w:fill="F7FBFE"/>
            <w:tcMar>
              <w:top w:w="100" w:type="dxa"/>
              <w:start w:w="120" w:type="dxa"/>
              <w:bottom w:w="100" w:type="dxa"/>
              <w:end w:w="120" w:type="dxa"/>
            </w:tcMar>
            <w:vAlign w:val="center"/>
          </w:tcPr>
          <w:p>
            <w:pPr>
              <w:jc w:val="center"/>
            </w:pPr>
            <w:r>
              <w:rPr>
                <w:rFonts w:ascii="Calibri" w:hAnsi="Calibri"/>
                <w:b w:val="0"/>
                <w:i w:val="0"/>
                <w:color w:val="1F2937"/>
                <w:sz w:val="18"/>
              </w:rPr>
              <w:t>87.3–88.0%</w:t>
            </w:r>
          </w:p>
        </w:tc>
      </w:tr>
      <w:tr>
        <w:trPr>
          <w:cantSplit/>
        </w:trPr>
        <w:tc>
          <w:tcPr>
            <w:tcW w:type="dxa" w:w="1200"/>
            <w:tcMar>
              <w:top w:w="100" w:type="dxa"/>
              <w:start w:w="120" w:type="dxa"/>
              <w:bottom w:w="100" w:type="dxa"/>
              <w:end w:w="120" w:type="dxa"/>
            </w:tcMar>
            <w:vAlign w:val="center"/>
          </w:tcPr>
          <w:p>
            <w:pPr>
              <w:jc w:val="left"/>
            </w:pPr>
            <w:r>
              <w:rPr>
                <w:rFonts w:ascii="Calibri" w:hAnsi="Calibri"/>
                <w:b w:val="0"/>
                <w:i w:val="0"/>
                <w:color w:val="1F2937"/>
                <w:sz w:val="18"/>
              </w:rPr>
              <w:t>Best</w:t>
            </w:r>
          </w:p>
        </w:tc>
        <w:tc>
          <w:tcPr>
            <w:tcW w:type="dxa" w:w="2850"/>
            <w:tcMar>
              <w:top w:w="100" w:type="dxa"/>
              <w:start w:w="120" w:type="dxa"/>
              <w:bottom w:w="100" w:type="dxa"/>
              <w:end w:w="120" w:type="dxa"/>
            </w:tcMar>
            <w:vAlign w:val="center"/>
          </w:tcPr>
          <w:p>
            <w:pPr>
              <w:jc w:val="center"/>
            </w:pPr>
            <w:r>
              <w:rPr>
                <w:rFonts w:ascii="Calibri" w:hAnsi="Calibri"/>
                <w:b w:val="0"/>
                <w:i w:val="0"/>
                <w:color w:val="1F2937"/>
                <w:sz w:val="18"/>
              </w:rPr>
              <w:t>Tuesday 06:00</w:t>
            </w:r>
          </w:p>
        </w:tc>
        <w:tc>
          <w:tcPr>
            <w:tcW w:type="dxa" w:w="1700"/>
            <w:tcMar>
              <w:top w:w="100" w:type="dxa"/>
              <w:start w:w="120" w:type="dxa"/>
              <w:bottom w:w="100" w:type="dxa"/>
              <w:end w:w="120" w:type="dxa"/>
            </w:tcMar>
            <w:vAlign w:val="center"/>
          </w:tcPr>
          <w:p>
            <w:pPr>
              <w:jc w:val="center"/>
            </w:pPr>
            <w:r>
              <w:rPr>
                <w:rFonts w:ascii="Calibri" w:hAnsi="Calibri"/>
                <w:b w:val="0"/>
                <w:i w:val="0"/>
                <w:color w:val="1F2937"/>
                <w:sz w:val="18"/>
              </w:rPr>
              <w:t>39,822</w:t>
            </w:r>
          </w:p>
        </w:tc>
        <w:tc>
          <w:tcPr>
            <w:tcW w:type="dxa" w:w="1450"/>
            <w:tcMar>
              <w:top w:w="100" w:type="dxa"/>
              <w:start w:w="120" w:type="dxa"/>
              <w:bottom w:w="100" w:type="dxa"/>
              <w:end w:w="120" w:type="dxa"/>
            </w:tcMar>
            <w:vAlign w:val="center"/>
          </w:tcPr>
          <w:p>
            <w:pPr>
              <w:jc w:val="center"/>
            </w:pPr>
            <w:r>
              <w:rPr>
                <w:rFonts w:ascii="Calibri" w:hAnsi="Calibri"/>
                <w:b w:val="0"/>
                <w:i w:val="0"/>
                <w:color w:val="1F2937"/>
                <w:sz w:val="18"/>
              </w:rPr>
              <w:t>87.3%</w:t>
            </w:r>
          </w:p>
        </w:tc>
        <w:tc>
          <w:tcPr>
            <w:tcW w:type="dxa" w:w="3005"/>
            <w:tcMar>
              <w:top w:w="100" w:type="dxa"/>
              <w:start w:w="120" w:type="dxa"/>
              <w:bottom w:w="100" w:type="dxa"/>
              <w:end w:w="120" w:type="dxa"/>
            </w:tcMar>
            <w:vAlign w:val="center"/>
          </w:tcPr>
          <w:p>
            <w:pPr>
              <w:jc w:val="center"/>
            </w:pPr>
            <w:r>
              <w:rPr>
                <w:rFonts w:ascii="Calibri" w:hAnsi="Calibri"/>
                <w:b w:val="0"/>
                <w:i w:val="0"/>
                <w:color w:val="1F2937"/>
                <w:sz w:val="18"/>
              </w:rPr>
              <w:t>87.0–87.6%</w:t>
            </w:r>
          </w:p>
        </w:tc>
      </w:tr>
      <w:tr>
        <w:trPr>
          <w:cantSplit/>
        </w:trPr>
        <w:tc>
          <w:tcPr>
            <w:tcW w:type="dxa" w:w="1200"/>
            <w:shd w:fill="F7FBFE"/>
            <w:tcMar>
              <w:top w:w="100" w:type="dxa"/>
              <w:start w:w="120" w:type="dxa"/>
              <w:bottom w:w="100" w:type="dxa"/>
              <w:end w:w="120" w:type="dxa"/>
            </w:tcMar>
            <w:vAlign w:val="center"/>
          </w:tcPr>
          <w:p>
            <w:pPr>
              <w:jc w:val="left"/>
            </w:pPr>
            <w:r>
              <w:rPr>
                <w:rFonts w:ascii="Calibri" w:hAnsi="Calibri"/>
                <w:b w:val="0"/>
                <w:i w:val="0"/>
                <w:color w:val="1F2937"/>
                <w:sz w:val="18"/>
              </w:rPr>
              <w:t>Worst</w:t>
            </w:r>
          </w:p>
        </w:tc>
        <w:tc>
          <w:tcPr>
            <w:tcW w:type="dxa" w:w="2850"/>
            <w:shd w:fill="F7FBFE"/>
            <w:tcMar>
              <w:top w:w="100" w:type="dxa"/>
              <w:start w:w="120" w:type="dxa"/>
              <w:bottom w:w="100" w:type="dxa"/>
              <w:end w:w="120" w:type="dxa"/>
            </w:tcMar>
            <w:vAlign w:val="center"/>
          </w:tcPr>
          <w:p>
            <w:pPr>
              <w:jc w:val="center"/>
            </w:pPr>
            <w:r>
              <w:rPr>
                <w:rFonts w:ascii="Calibri" w:hAnsi="Calibri"/>
                <w:b w:val="0"/>
                <w:i w:val="0"/>
                <w:color w:val="1F2937"/>
                <w:sz w:val="18"/>
              </w:rPr>
              <w:t>Saturday 00:00</w:t>
            </w:r>
          </w:p>
        </w:tc>
        <w:tc>
          <w:tcPr>
            <w:tcW w:type="dxa" w:w="1700"/>
            <w:shd w:fill="F7FBFE"/>
            <w:tcMar>
              <w:top w:w="100" w:type="dxa"/>
              <w:start w:w="120" w:type="dxa"/>
              <w:bottom w:w="100" w:type="dxa"/>
              <w:end w:w="120" w:type="dxa"/>
            </w:tcMar>
            <w:vAlign w:val="center"/>
          </w:tcPr>
          <w:p>
            <w:pPr>
              <w:jc w:val="center"/>
            </w:pPr>
            <w:r>
              <w:rPr>
                <w:rFonts w:ascii="Calibri" w:hAnsi="Calibri"/>
                <w:b w:val="0"/>
                <w:i w:val="0"/>
                <w:color w:val="1F2937"/>
                <w:sz w:val="18"/>
              </w:rPr>
              <w:t>6,721</w:t>
            </w:r>
          </w:p>
        </w:tc>
        <w:tc>
          <w:tcPr>
            <w:tcW w:type="dxa" w:w="1450"/>
            <w:shd w:fill="F7FBFE"/>
            <w:tcMar>
              <w:top w:w="100" w:type="dxa"/>
              <w:start w:w="120" w:type="dxa"/>
              <w:bottom w:w="100" w:type="dxa"/>
              <w:end w:w="120" w:type="dxa"/>
            </w:tcMar>
            <w:vAlign w:val="center"/>
          </w:tcPr>
          <w:p>
            <w:pPr>
              <w:jc w:val="center"/>
            </w:pPr>
            <w:r>
              <w:rPr>
                <w:rFonts w:ascii="Calibri" w:hAnsi="Calibri"/>
                <w:b w:val="0"/>
                <w:i w:val="0"/>
                <w:color w:val="1F2937"/>
                <w:sz w:val="18"/>
              </w:rPr>
              <w:t>62.7%</w:t>
            </w:r>
          </w:p>
        </w:tc>
        <w:tc>
          <w:tcPr>
            <w:tcW w:type="dxa" w:w="3005"/>
            <w:shd w:fill="F7FBFE"/>
            <w:tcMar>
              <w:top w:w="100" w:type="dxa"/>
              <w:start w:w="120" w:type="dxa"/>
              <w:bottom w:w="100" w:type="dxa"/>
              <w:end w:w="120" w:type="dxa"/>
            </w:tcMar>
            <w:vAlign w:val="center"/>
          </w:tcPr>
          <w:p>
            <w:pPr>
              <w:jc w:val="center"/>
            </w:pPr>
            <w:r>
              <w:rPr>
                <w:rFonts w:ascii="Calibri" w:hAnsi="Calibri"/>
                <w:b w:val="0"/>
                <w:i w:val="0"/>
                <w:color w:val="1F2937"/>
                <w:sz w:val="18"/>
              </w:rPr>
              <w:t>61.5–63.8%</w:t>
            </w:r>
          </w:p>
        </w:tc>
      </w:tr>
      <w:tr>
        <w:trPr>
          <w:cantSplit/>
        </w:trPr>
        <w:tc>
          <w:tcPr>
            <w:tcW w:type="dxa" w:w="1200"/>
            <w:tcMar>
              <w:top w:w="100" w:type="dxa"/>
              <w:start w:w="120" w:type="dxa"/>
              <w:bottom w:w="100" w:type="dxa"/>
              <w:end w:w="120" w:type="dxa"/>
            </w:tcMar>
            <w:vAlign w:val="center"/>
          </w:tcPr>
          <w:p>
            <w:pPr>
              <w:jc w:val="left"/>
            </w:pPr>
            <w:r>
              <w:rPr>
                <w:rFonts w:ascii="Calibri" w:hAnsi="Calibri"/>
                <w:b w:val="0"/>
                <w:i w:val="0"/>
                <w:color w:val="1F2937"/>
                <w:sz w:val="18"/>
              </w:rPr>
              <w:t>Worst</w:t>
            </w:r>
          </w:p>
        </w:tc>
        <w:tc>
          <w:tcPr>
            <w:tcW w:type="dxa" w:w="2850"/>
            <w:tcMar>
              <w:top w:w="100" w:type="dxa"/>
              <w:start w:w="120" w:type="dxa"/>
              <w:bottom w:w="100" w:type="dxa"/>
              <w:end w:w="120" w:type="dxa"/>
            </w:tcMar>
            <w:vAlign w:val="center"/>
          </w:tcPr>
          <w:p>
            <w:pPr>
              <w:jc w:val="center"/>
            </w:pPr>
            <w:r>
              <w:rPr>
                <w:rFonts w:ascii="Calibri" w:hAnsi="Calibri"/>
                <w:b w:val="0"/>
                <w:i w:val="0"/>
                <w:color w:val="1F2937"/>
                <w:sz w:val="18"/>
              </w:rPr>
              <w:t>Sunday 00:00</w:t>
            </w:r>
          </w:p>
        </w:tc>
        <w:tc>
          <w:tcPr>
            <w:tcW w:type="dxa" w:w="1700"/>
            <w:tcMar>
              <w:top w:w="100" w:type="dxa"/>
              <w:start w:w="120" w:type="dxa"/>
              <w:bottom w:w="100" w:type="dxa"/>
              <w:end w:w="120" w:type="dxa"/>
            </w:tcMar>
            <w:vAlign w:val="center"/>
          </w:tcPr>
          <w:p>
            <w:pPr>
              <w:jc w:val="center"/>
            </w:pPr>
            <w:r>
              <w:rPr>
                <w:rFonts w:ascii="Calibri" w:hAnsi="Calibri"/>
                <w:b w:val="0"/>
                <w:i w:val="0"/>
                <w:color w:val="1F2937"/>
                <w:sz w:val="18"/>
              </w:rPr>
              <w:t>6,187</w:t>
            </w:r>
          </w:p>
        </w:tc>
        <w:tc>
          <w:tcPr>
            <w:tcW w:type="dxa" w:w="1450"/>
            <w:tcMar>
              <w:top w:w="100" w:type="dxa"/>
              <w:start w:w="120" w:type="dxa"/>
              <w:bottom w:w="100" w:type="dxa"/>
              <w:end w:w="120" w:type="dxa"/>
            </w:tcMar>
            <w:vAlign w:val="center"/>
          </w:tcPr>
          <w:p>
            <w:pPr>
              <w:jc w:val="center"/>
            </w:pPr>
            <w:r>
              <w:rPr>
                <w:rFonts w:ascii="Calibri" w:hAnsi="Calibri"/>
                <w:b w:val="0"/>
                <w:i w:val="0"/>
                <w:color w:val="1F2937"/>
                <w:sz w:val="18"/>
              </w:rPr>
              <w:t>62.9%</w:t>
            </w:r>
          </w:p>
        </w:tc>
        <w:tc>
          <w:tcPr>
            <w:tcW w:type="dxa" w:w="3005"/>
            <w:tcMar>
              <w:top w:w="100" w:type="dxa"/>
              <w:start w:w="120" w:type="dxa"/>
              <w:bottom w:w="100" w:type="dxa"/>
              <w:end w:w="120" w:type="dxa"/>
            </w:tcMar>
            <w:vAlign w:val="center"/>
          </w:tcPr>
          <w:p>
            <w:pPr>
              <w:jc w:val="center"/>
            </w:pPr>
            <w:r>
              <w:rPr>
                <w:rFonts w:ascii="Calibri" w:hAnsi="Calibri"/>
                <w:b w:val="0"/>
                <w:i w:val="0"/>
                <w:color w:val="1F2937"/>
                <w:sz w:val="18"/>
              </w:rPr>
              <w:t>61.7–64.1%</w:t>
            </w:r>
          </w:p>
        </w:tc>
      </w:tr>
      <w:tr>
        <w:trPr>
          <w:cantSplit/>
        </w:trPr>
        <w:tc>
          <w:tcPr>
            <w:tcW w:type="dxa" w:w="1200"/>
            <w:shd w:fill="F7FBFE"/>
            <w:tcMar>
              <w:top w:w="100" w:type="dxa"/>
              <w:start w:w="120" w:type="dxa"/>
              <w:bottom w:w="100" w:type="dxa"/>
              <w:end w:w="120" w:type="dxa"/>
            </w:tcMar>
            <w:vAlign w:val="center"/>
          </w:tcPr>
          <w:p>
            <w:pPr>
              <w:jc w:val="left"/>
            </w:pPr>
            <w:r>
              <w:rPr>
                <w:rFonts w:ascii="Calibri" w:hAnsi="Calibri"/>
                <w:b w:val="0"/>
                <w:i w:val="0"/>
                <w:color w:val="1F2937"/>
                <w:sz w:val="18"/>
              </w:rPr>
              <w:t>Worst</w:t>
            </w:r>
          </w:p>
        </w:tc>
        <w:tc>
          <w:tcPr>
            <w:tcW w:type="dxa" w:w="2850"/>
            <w:shd w:fill="F7FBFE"/>
            <w:tcMar>
              <w:top w:w="100" w:type="dxa"/>
              <w:start w:w="120" w:type="dxa"/>
              <w:bottom w:w="100" w:type="dxa"/>
              <w:end w:w="120" w:type="dxa"/>
            </w:tcMar>
            <w:vAlign w:val="center"/>
          </w:tcPr>
          <w:p>
            <w:pPr>
              <w:jc w:val="center"/>
            </w:pPr>
            <w:r>
              <w:rPr>
                <w:rFonts w:ascii="Calibri" w:hAnsi="Calibri"/>
                <w:b w:val="0"/>
                <w:i w:val="0"/>
                <w:color w:val="1F2937"/>
                <w:sz w:val="18"/>
              </w:rPr>
              <w:t>Sunday 01:00</w:t>
            </w:r>
          </w:p>
        </w:tc>
        <w:tc>
          <w:tcPr>
            <w:tcW w:type="dxa" w:w="1700"/>
            <w:shd w:fill="F7FBFE"/>
            <w:tcMar>
              <w:top w:w="100" w:type="dxa"/>
              <w:start w:w="120" w:type="dxa"/>
              <w:bottom w:w="100" w:type="dxa"/>
              <w:end w:w="120" w:type="dxa"/>
            </w:tcMar>
            <w:vAlign w:val="center"/>
          </w:tcPr>
          <w:p>
            <w:pPr>
              <w:jc w:val="center"/>
            </w:pPr>
            <w:r>
              <w:rPr>
                <w:rFonts w:ascii="Calibri" w:hAnsi="Calibri"/>
                <w:b w:val="0"/>
                <w:i w:val="0"/>
                <w:color w:val="1F2937"/>
                <w:sz w:val="18"/>
              </w:rPr>
              <w:t>6,706</w:t>
            </w:r>
          </w:p>
        </w:tc>
        <w:tc>
          <w:tcPr>
            <w:tcW w:type="dxa" w:w="1450"/>
            <w:shd w:fill="F7FBFE"/>
            <w:tcMar>
              <w:top w:w="100" w:type="dxa"/>
              <w:start w:w="120" w:type="dxa"/>
              <w:bottom w:w="100" w:type="dxa"/>
              <w:end w:w="120" w:type="dxa"/>
            </w:tcMar>
            <w:vAlign w:val="center"/>
          </w:tcPr>
          <w:p>
            <w:pPr>
              <w:jc w:val="center"/>
            </w:pPr>
            <w:r>
              <w:rPr>
                <w:rFonts w:ascii="Calibri" w:hAnsi="Calibri"/>
                <w:b w:val="0"/>
                <w:i w:val="0"/>
                <w:color w:val="1F2937"/>
                <w:sz w:val="18"/>
              </w:rPr>
              <w:t>63.1%</w:t>
            </w:r>
          </w:p>
        </w:tc>
        <w:tc>
          <w:tcPr>
            <w:tcW w:type="dxa" w:w="3005"/>
            <w:shd w:fill="F7FBFE"/>
            <w:tcMar>
              <w:top w:w="100" w:type="dxa"/>
              <w:start w:w="120" w:type="dxa"/>
              <w:bottom w:w="100" w:type="dxa"/>
              <w:end w:w="120" w:type="dxa"/>
            </w:tcMar>
            <w:vAlign w:val="center"/>
          </w:tcPr>
          <w:p>
            <w:pPr>
              <w:jc w:val="center"/>
            </w:pPr>
            <w:r>
              <w:rPr>
                <w:rFonts w:ascii="Calibri" w:hAnsi="Calibri"/>
                <w:b w:val="0"/>
                <w:i w:val="0"/>
                <w:color w:val="1F2937"/>
                <w:sz w:val="18"/>
              </w:rPr>
              <w:t>61.9–64.3%</w:t>
            </w:r>
          </w:p>
        </w:tc>
      </w:tr>
    </w:tbl>
    <w:p>
      <w:pPr>
        <w:spacing w:after="20"/>
      </w:pPr>
    </w:p>
    <w:p>
      <w:pPr>
        <w:pStyle w:val="Heading3"/>
      </w:pPr>
      <w:r>
        <w:t>Five directional routes requiring data and schedule review</w:t>
      </w:r>
    </w:p>
    <w:tbl>
      <w:tblPr>
        <w:tblW w:type="dxa" w:w="10205"/>
        <w:tblLayout w:type="fixed"/>
        <w:tblLook w:firstColumn="1" w:firstRow="1" w:lastColumn="0" w:lastRow="0" w:noHBand="0" w:noVBand="1" w:val="04A0"/>
        <w:jc w:val="left"/>
        <w:tblInd w:w="120" w:type="dxa"/>
      </w:tblPr>
      <w:tblGrid>
        <w:gridCol w:w="2100"/>
        <w:gridCol w:w="1600"/>
        <w:gridCol w:w="1300"/>
        <w:gridCol w:w="1500"/>
        <w:gridCol w:w="3705"/>
      </w:tblGrid>
      <w:tr>
        <w:trPr>
          <w:tblHeader/>
          <w:cantSplit/>
        </w:trPr>
        <w:tc>
          <w:tcPr>
            <w:tcW w:type="dxa" w:w="2100"/>
            <w:tcMar>
              <w:top w:w="100" w:type="dxa"/>
              <w:start w:w="120" w:type="dxa"/>
              <w:bottom w:w="100" w:type="dxa"/>
              <w:end w:w="120" w:type="dxa"/>
            </w:tcMar>
            <w:vAlign w:val="center"/>
            <w:shd w:fill="1F4E78"/>
          </w:tcPr>
          <w:p>
            <w:pPr>
              <w:jc w:val="center"/>
            </w:pPr>
            <w:r>
              <w:rPr>
                <w:rFonts w:ascii="Calibri" w:hAnsi="Calibri"/>
                <w:b/>
                <w:i w:val="0"/>
                <w:color w:val="FFFFFF"/>
                <w:sz w:val="18"/>
              </w:rPr>
              <w:t>Route</w:t>
            </w:r>
          </w:p>
        </w:tc>
        <w:tc>
          <w:tcPr>
            <w:tcW w:type="dxa" w:w="1600"/>
            <w:tcMar>
              <w:top w:w="100" w:type="dxa"/>
              <w:start w:w="120" w:type="dxa"/>
              <w:bottom w:w="100" w:type="dxa"/>
              <w:end w:w="120" w:type="dxa"/>
            </w:tcMar>
            <w:vAlign w:val="center"/>
            <w:shd w:fill="1F4E78"/>
          </w:tcPr>
          <w:p>
            <w:pPr>
              <w:jc w:val="center"/>
            </w:pPr>
            <w:r>
              <w:rPr>
                <w:rFonts w:ascii="Calibri" w:hAnsi="Calibri"/>
                <w:b/>
                <w:i w:val="0"/>
                <w:color w:val="FFFFFF"/>
                <w:sz w:val="18"/>
              </w:rPr>
              <w:t>Flights</w:t>
            </w:r>
          </w:p>
        </w:tc>
        <w:tc>
          <w:tcPr>
            <w:tcW w:type="dxa" w:w="1300"/>
            <w:tcMar>
              <w:top w:w="100" w:type="dxa"/>
              <w:start w:w="120" w:type="dxa"/>
              <w:bottom w:w="100" w:type="dxa"/>
              <w:end w:w="120" w:type="dxa"/>
            </w:tcMar>
            <w:vAlign w:val="center"/>
            <w:shd w:fill="1F4E78"/>
          </w:tcPr>
          <w:p>
            <w:pPr>
              <w:jc w:val="center"/>
            </w:pPr>
            <w:r>
              <w:rPr>
                <w:rFonts w:ascii="Calibri" w:hAnsi="Calibri"/>
                <w:b/>
                <w:i w:val="0"/>
                <w:color w:val="FFFFFF"/>
                <w:sz w:val="18"/>
              </w:rPr>
              <w:t>Periods</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c>
          <w:tcPr>
            <w:tcW w:type="dxa" w:w="3705"/>
            <w:tcMar>
              <w:top w:w="100" w:type="dxa"/>
              <w:start w:w="120" w:type="dxa"/>
              <w:bottom w:w="100" w:type="dxa"/>
              <w:end w:w="120" w:type="dxa"/>
            </w:tcMar>
            <w:vAlign w:val="center"/>
            <w:shd w:fill="1F4E78"/>
          </w:tcPr>
          <w:p>
            <w:pPr>
              <w:jc w:val="center"/>
            </w:pPr>
            <w:r>
              <w:rPr>
                <w:rFonts w:ascii="Calibri" w:hAnsi="Calibri"/>
                <w:b/>
                <w:i w:val="0"/>
                <w:color w:val="FFFFFF"/>
                <w:sz w:val="18"/>
              </w:rPr>
              <w:t>Wilson 95%</w:t>
            </w:r>
          </w:p>
        </w:tc>
      </w:tr>
      <w:tr>
        <w:trPr>
          <w:cantSplit/>
        </w:trPr>
        <w:tc>
          <w:tcPr>
            <w:tcW w:type="dxa" w:w="2100"/>
            <w:tcMar>
              <w:top w:w="100" w:type="dxa"/>
              <w:start w:w="120" w:type="dxa"/>
              <w:bottom w:w="100" w:type="dxa"/>
              <w:end w:w="120" w:type="dxa"/>
            </w:tcMar>
            <w:vAlign w:val="center"/>
          </w:tcPr>
          <w:p>
            <w:pPr>
              <w:jc w:val="left"/>
            </w:pPr>
            <w:r>
              <w:rPr>
                <w:rFonts w:ascii="Calibri" w:hAnsi="Calibri"/>
                <w:b w:val="0"/>
                <w:i w:val="0"/>
                <w:color w:val="1F2937"/>
                <w:sz w:val="18"/>
              </w:rPr>
              <w:t>CYYZ → EGLL</w:t>
            </w:r>
          </w:p>
        </w:tc>
        <w:tc>
          <w:tcPr>
            <w:tcW w:type="dxa" w:w="1600"/>
            <w:tcMar>
              <w:top w:w="100" w:type="dxa"/>
              <w:start w:w="120" w:type="dxa"/>
              <w:bottom w:w="100" w:type="dxa"/>
              <w:end w:w="120" w:type="dxa"/>
            </w:tcMar>
            <w:vAlign w:val="center"/>
          </w:tcPr>
          <w:p>
            <w:pPr>
              <w:jc w:val="center"/>
            </w:pPr>
            <w:r>
              <w:rPr>
                <w:rFonts w:ascii="Calibri" w:hAnsi="Calibri"/>
                <w:b w:val="0"/>
                <w:i w:val="0"/>
                <w:color w:val="1F2937"/>
                <w:sz w:val="18"/>
              </w:rPr>
              <w:t>1,141</w:t>
            </w:r>
          </w:p>
        </w:tc>
        <w:tc>
          <w:tcPr>
            <w:tcW w:type="dxa" w:w="1300"/>
            <w:tcMar>
              <w:top w:w="100" w:type="dxa"/>
              <w:start w:w="120" w:type="dxa"/>
              <w:bottom w:w="100" w:type="dxa"/>
              <w:end w:w="120" w:type="dxa"/>
            </w:tcMar>
            <w:vAlign w:val="center"/>
          </w:tcPr>
          <w:p>
            <w:pPr>
              <w:jc w:val="center"/>
            </w:pPr>
            <w:r>
              <w:rPr>
                <w:rFonts w:ascii="Calibri" w:hAnsi="Calibri"/>
                <w:b w:val="0"/>
                <w:i w:val="0"/>
                <w:color w:val="1F2937"/>
                <w:sz w:val="18"/>
              </w:rPr>
              <w:t>9</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3.9%</w:t>
            </w:r>
          </w:p>
        </w:tc>
        <w:tc>
          <w:tcPr>
            <w:tcW w:type="dxa" w:w="3705"/>
            <w:tcMar>
              <w:top w:w="100" w:type="dxa"/>
              <w:start w:w="120" w:type="dxa"/>
              <w:bottom w:w="100" w:type="dxa"/>
              <w:end w:w="120" w:type="dxa"/>
            </w:tcMar>
            <w:vAlign w:val="center"/>
          </w:tcPr>
          <w:p>
            <w:pPr>
              <w:jc w:val="center"/>
            </w:pPr>
            <w:r>
              <w:rPr>
                <w:rFonts w:ascii="Calibri" w:hAnsi="Calibri"/>
                <w:b w:val="0"/>
                <w:i w:val="0"/>
                <w:color w:val="1F2937"/>
                <w:sz w:val="18"/>
              </w:rPr>
              <w:t>2.9–5.1%</w:t>
            </w:r>
          </w:p>
        </w:tc>
      </w:tr>
      <w:tr>
        <w:trPr>
          <w:cantSplit/>
        </w:trPr>
        <w:tc>
          <w:tcPr>
            <w:tcW w:type="dxa" w:w="2100"/>
            <w:shd w:fill="F7FBFE"/>
            <w:tcMar>
              <w:top w:w="100" w:type="dxa"/>
              <w:start w:w="120" w:type="dxa"/>
              <w:bottom w:w="100" w:type="dxa"/>
              <w:end w:w="120" w:type="dxa"/>
            </w:tcMar>
            <w:vAlign w:val="center"/>
          </w:tcPr>
          <w:p>
            <w:pPr>
              <w:jc w:val="left"/>
            </w:pPr>
            <w:r>
              <w:rPr>
                <w:rFonts w:ascii="Calibri" w:hAnsi="Calibri"/>
                <w:b w:val="0"/>
                <w:i w:val="0"/>
                <w:color w:val="1F2937"/>
                <w:sz w:val="18"/>
              </w:rPr>
              <w:t>CYVR → EGLL</w:t>
            </w:r>
          </w:p>
        </w:tc>
        <w:tc>
          <w:tcPr>
            <w:tcW w:type="dxa" w:w="1600"/>
            <w:shd w:fill="F7FBFE"/>
            <w:tcMar>
              <w:top w:w="100" w:type="dxa"/>
              <w:start w:w="120" w:type="dxa"/>
              <w:bottom w:w="100" w:type="dxa"/>
              <w:end w:w="120" w:type="dxa"/>
            </w:tcMar>
            <w:vAlign w:val="center"/>
          </w:tcPr>
          <w:p>
            <w:pPr>
              <w:jc w:val="center"/>
            </w:pPr>
            <w:r>
              <w:rPr>
                <w:rFonts w:ascii="Calibri" w:hAnsi="Calibri"/>
                <w:b w:val="0"/>
                <w:i w:val="0"/>
                <w:color w:val="1F2937"/>
                <w:sz w:val="18"/>
              </w:rPr>
              <w:t>540</w:t>
            </w:r>
          </w:p>
        </w:tc>
        <w:tc>
          <w:tcPr>
            <w:tcW w:type="dxa" w:w="1300"/>
            <w:shd w:fill="F7FBFE"/>
            <w:tcMar>
              <w:top w:w="100" w:type="dxa"/>
              <w:start w:w="120" w:type="dxa"/>
              <w:bottom w:w="100" w:type="dxa"/>
              <w:end w:w="120" w:type="dxa"/>
            </w:tcMar>
            <w:vAlign w:val="center"/>
          </w:tcPr>
          <w:p>
            <w:pPr>
              <w:jc w:val="center"/>
            </w:pPr>
            <w:r>
              <w:rPr>
                <w:rFonts w:ascii="Calibri" w:hAnsi="Calibri"/>
                <w:b w:val="0"/>
                <w:i w:val="0"/>
                <w:color w:val="1F2937"/>
                <w:sz w:val="18"/>
              </w:rPr>
              <w:t>9</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4.6%</w:t>
            </w:r>
          </w:p>
        </w:tc>
        <w:tc>
          <w:tcPr>
            <w:tcW w:type="dxa" w:w="3705"/>
            <w:shd w:fill="F7FBFE"/>
            <w:tcMar>
              <w:top w:w="100" w:type="dxa"/>
              <w:start w:w="120" w:type="dxa"/>
              <w:bottom w:w="100" w:type="dxa"/>
              <w:end w:w="120" w:type="dxa"/>
            </w:tcMar>
            <w:vAlign w:val="center"/>
          </w:tcPr>
          <w:p>
            <w:pPr>
              <w:jc w:val="center"/>
            </w:pPr>
            <w:r>
              <w:rPr>
                <w:rFonts w:ascii="Calibri" w:hAnsi="Calibri"/>
                <w:b w:val="0"/>
                <w:i w:val="0"/>
                <w:color w:val="1F2937"/>
                <w:sz w:val="18"/>
              </w:rPr>
              <w:t>3.2–6.7%</w:t>
            </w:r>
          </w:p>
        </w:tc>
      </w:tr>
      <w:tr>
        <w:trPr>
          <w:cantSplit/>
        </w:trPr>
        <w:tc>
          <w:tcPr>
            <w:tcW w:type="dxa" w:w="2100"/>
            <w:tcMar>
              <w:top w:w="100" w:type="dxa"/>
              <w:start w:w="120" w:type="dxa"/>
              <w:bottom w:w="100" w:type="dxa"/>
              <w:end w:w="120" w:type="dxa"/>
            </w:tcMar>
            <w:vAlign w:val="center"/>
          </w:tcPr>
          <w:p>
            <w:pPr>
              <w:jc w:val="left"/>
            </w:pPr>
            <w:r>
              <w:rPr>
                <w:rFonts w:ascii="Calibri" w:hAnsi="Calibri"/>
                <w:b w:val="0"/>
                <w:i w:val="0"/>
                <w:color w:val="1F2937"/>
                <w:sz w:val="18"/>
              </w:rPr>
              <w:t>CYYZ → LFPG</w:t>
            </w:r>
          </w:p>
        </w:tc>
        <w:tc>
          <w:tcPr>
            <w:tcW w:type="dxa" w:w="1600"/>
            <w:tcMar>
              <w:top w:w="100" w:type="dxa"/>
              <w:start w:w="120" w:type="dxa"/>
              <w:bottom w:w="100" w:type="dxa"/>
              <w:end w:w="120" w:type="dxa"/>
            </w:tcMar>
            <w:vAlign w:val="center"/>
          </w:tcPr>
          <w:p>
            <w:pPr>
              <w:jc w:val="center"/>
            </w:pPr>
            <w:r>
              <w:rPr>
                <w:rFonts w:ascii="Calibri" w:hAnsi="Calibri"/>
                <w:b w:val="0"/>
                <w:i w:val="0"/>
                <w:color w:val="1F2937"/>
                <w:sz w:val="18"/>
              </w:rPr>
              <w:t>568</w:t>
            </w:r>
          </w:p>
        </w:tc>
        <w:tc>
          <w:tcPr>
            <w:tcW w:type="dxa" w:w="1300"/>
            <w:tcMar>
              <w:top w:w="100" w:type="dxa"/>
              <w:start w:w="120" w:type="dxa"/>
              <w:bottom w:w="100" w:type="dxa"/>
              <w:end w:w="120" w:type="dxa"/>
            </w:tcMar>
            <w:vAlign w:val="center"/>
          </w:tcPr>
          <w:p>
            <w:pPr>
              <w:jc w:val="center"/>
            </w:pPr>
            <w:r>
              <w:rPr>
                <w:rFonts w:ascii="Calibri" w:hAnsi="Calibri"/>
                <w:b w:val="0"/>
                <w:i w:val="0"/>
                <w:color w:val="1F2937"/>
                <w:sz w:val="18"/>
              </w:rPr>
              <w:t>9</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5.3%</w:t>
            </w:r>
          </w:p>
        </w:tc>
        <w:tc>
          <w:tcPr>
            <w:tcW w:type="dxa" w:w="3705"/>
            <w:tcMar>
              <w:top w:w="100" w:type="dxa"/>
              <w:start w:w="120" w:type="dxa"/>
              <w:bottom w:w="100" w:type="dxa"/>
              <w:end w:w="120" w:type="dxa"/>
            </w:tcMar>
            <w:vAlign w:val="center"/>
          </w:tcPr>
          <w:p>
            <w:pPr>
              <w:jc w:val="center"/>
            </w:pPr>
            <w:r>
              <w:rPr>
                <w:rFonts w:ascii="Calibri" w:hAnsi="Calibri"/>
                <w:b w:val="0"/>
                <w:i w:val="0"/>
                <w:color w:val="1F2937"/>
                <w:sz w:val="18"/>
              </w:rPr>
              <w:t>3.7–7.4%</w:t>
            </w:r>
          </w:p>
        </w:tc>
      </w:tr>
      <w:tr>
        <w:trPr>
          <w:cantSplit/>
        </w:trPr>
        <w:tc>
          <w:tcPr>
            <w:tcW w:type="dxa" w:w="2100"/>
            <w:shd w:fill="F7FBFE"/>
            <w:tcMar>
              <w:top w:w="100" w:type="dxa"/>
              <w:start w:w="120" w:type="dxa"/>
              <w:bottom w:w="100" w:type="dxa"/>
              <w:end w:w="120" w:type="dxa"/>
            </w:tcMar>
            <w:vAlign w:val="center"/>
          </w:tcPr>
          <w:p>
            <w:pPr>
              <w:jc w:val="left"/>
            </w:pPr>
            <w:r>
              <w:rPr>
                <w:rFonts w:ascii="Calibri" w:hAnsi="Calibri"/>
                <w:b w:val="0"/>
                <w:i w:val="0"/>
                <w:color w:val="1F2937"/>
                <w:sz w:val="18"/>
              </w:rPr>
              <w:t>OMDB → KJFK</w:t>
            </w:r>
          </w:p>
        </w:tc>
        <w:tc>
          <w:tcPr>
            <w:tcW w:type="dxa" w:w="1600"/>
            <w:shd w:fill="F7FBFE"/>
            <w:tcMar>
              <w:top w:w="100" w:type="dxa"/>
              <w:start w:w="120" w:type="dxa"/>
              <w:bottom w:w="100" w:type="dxa"/>
              <w:end w:w="120" w:type="dxa"/>
            </w:tcMar>
            <w:vAlign w:val="center"/>
          </w:tcPr>
          <w:p>
            <w:pPr>
              <w:jc w:val="center"/>
            </w:pPr>
            <w:r>
              <w:rPr>
                <w:rFonts w:ascii="Calibri" w:hAnsi="Calibri"/>
                <w:b w:val="0"/>
                <w:i w:val="0"/>
                <w:color w:val="1F2937"/>
                <w:sz w:val="18"/>
              </w:rPr>
              <w:t>518</w:t>
            </w:r>
          </w:p>
        </w:tc>
        <w:tc>
          <w:tcPr>
            <w:tcW w:type="dxa" w:w="1300"/>
            <w:shd w:fill="F7FBFE"/>
            <w:tcMar>
              <w:top w:w="100" w:type="dxa"/>
              <w:start w:w="120" w:type="dxa"/>
              <w:bottom w:w="100" w:type="dxa"/>
              <w:end w:w="120" w:type="dxa"/>
            </w:tcMar>
            <w:vAlign w:val="center"/>
          </w:tcPr>
          <w:p>
            <w:pPr>
              <w:jc w:val="center"/>
            </w:pPr>
            <w:r>
              <w:rPr>
                <w:rFonts w:ascii="Calibri" w:hAnsi="Calibri"/>
                <w:b w:val="0"/>
                <w:i w:val="0"/>
                <w:color w:val="1F2937"/>
                <w:sz w:val="18"/>
              </w:rPr>
              <w:t>9</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9.8%</w:t>
            </w:r>
          </w:p>
        </w:tc>
        <w:tc>
          <w:tcPr>
            <w:tcW w:type="dxa" w:w="3705"/>
            <w:shd w:fill="F7FBFE"/>
            <w:tcMar>
              <w:top w:w="100" w:type="dxa"/>
              <w:start w:w="120" w:type="dxa"/>
              <w:bottom w:w="100" w:type="dxa"/>
              <w:end w:w="120" w:type="dxa"/>
            </w:tcMar>
            <w:vAlign w:val="center"/>
          </w:tcPr>
          <w:p>
            <w:pPr>
              <w:jc w:val="center"/>
            </w:pPr>
            <w:r>
              <w:rPr>
                <w:rFonts w:ascii="Calibri" w:hAnsi="Calibri"/>
                <w:b w:val="0"/>
                <w:i w:val="0"/>
                <w:color w:val="1F2937"/>
                <w:sz w:val="18"/>
              </w:rPr>
              <w:t>7.6–12.7%</w:t>
            </w:r>
          </w:p>
        </w:tc>
      </w:tr>
      <w:tr>
        <w:trPr>
          <w:cantSplit/>
        </w:trPr>
        <w:tc>
          <w:tcPr>
            <w:tcW w:type="dxa" w:w="2100"/>
            <w:tcMar>
              <w:top w:w="100" w:type="dxa"/>
              <w:start w:w="120" w:type="dxa"/>
              <w:bottom w:w="100" w:type="dxa"/>
              <w:end w:w="120" w:type="dxa"/>
            </w:tcMar>
            <w:vAlign w:val="center"/>
          </w:tcPr>
          <w:p>
            <w:pPr>
              <w:jc w:val="left"/>
            </w:pPr>
            <w:r>
              <w:rPr>
                <w:rFonts w:ascii="Calibri" w:hAnsi="Calibri"/>
                <w:b w:val="0"/>
                <w:i w:val="0"/>
                <w:color w:val="1F2937"/>
                <w:sz w:val="18"/>
              </w:rPr>
              <w:t>CYUL → LFPG</w:t>
            </w:r>
          </w:p>
        </w:tc>
        <w:tc>
          <w:tcPr>
            <w:tcW w:type="dxa" w:w="1600"/>
            <w:tcMar>
              <w:top w:w="100" w:type="dxa"/>
              <w:start w:w="120" w:type="dxa"/>
              <w:bottom w:w="100" w:type="dxa"/>
              <w:end w:w="120" w:type="dxa"/>
            </w:tcMar>
            <w:vAlign w:val="center"/>
          </w:tcPr>
          <w:p>
            <w:pPr>
              <w:jc w:val="center"/>
            </w:pPr>
            <w:r>
              <w:rPr>
                <w:rFonts w:ascii="Calibri" w:hAnsi="Calibri"/>
                <w:b w:val="0"/>
                <w:i w:val="0"/>
                <w:color w:val="1F2937"/>
                <w:sz w:val="18"/>
              </w:rPr>
              <w:t>1,348</w:t>
            </w:r>
          </w:p>
        </w:tc>
        <w:tc>
          <w:tcPr>
            <w:tcW w:type="dxa" w:w="1300"/>
            <w:tcMar>
              <w:top w:w="100" w:type="dxa"/>
              <w:start w:w="120" w:type="dxa"/>
              <w:bottom w:w="100" w:type="dxa"/>
              <w:end w:w="120" w:type="dxa"/>
            </w:tcMar>
            <w:vAlign w:val="center"/>
          </w:tcPr>
          <w:p>
            <w:pPr>
              <w:jc w:val="center"/>
            </w:pPr>
            <w:r>
              <w:rPr>
                <w:rFonts w:ascii="Calibri" w:hAnsi="Calibri"/>
                <w:b w:val="0"/>
                <w:i w:val="0"/>
                <w:color w:val="1F2937"/>
                <w:sz w:val="18"/>
              </w:rPr>
              <w:t>9</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11.6%</w:t>
            </w:r>
          </w:p>
        </w:tc>
        <w:tc>
          <w:tcPr>
            <w:tcW w:type="dxa" w:w="3705"/>
            <w:tcMar>
              <w:top w:w="100" w:type="dxa"/>
              <w:start w:w="120" w:type="dxa"/>
              <w:bottom w:w="100" w:type="dxa"/>
              <w:end w:w="120" w:type="dxa"/>
            </w:tcMar>
            <w:vAlign w:val="center"/>
          </w:tcPr>
          <w:p>
            <w:pPr>
              <w:jc w:val="center"/>
            </w:pPr>
            <w:r>
              <w:rPr>
                <w:rFonts w:ascii="Calibri" w:hAnsi="Calibri"/>
                <w:b w:val="0"/>
                <w:i w:val="0"/>
                <w:color w:val="1F2937"/>
                <w:sz w:val="18"/>
              </w:rPr>
              <w:t>10.0–13.5%</w:t>
            </w:r>
          </w:p>
        </w:tc>
      </w:tr>
    </w:tbl>
    <w:p>
      <w:pPr>
        <w:spacing w:after="20"/>
      </w:pPr>
    </w:p>
    <w:p>
      <w:r>
        <w:rPr>
          <w:rFonts w:ascii="Calibri" w:hAnsi="Calibri"/>
          <w:b w:val="0"/>
          <w:i w:val="0"/>
          <w:color w:val="1F2937"/>
          <w:sz w:val="24"/>
        </w:rPr>
        <w:t>Long-haul warning. These extreme directional routes may expose schedule-time, timezone, date-rollover or coverage problems. Audit those definitions before treating the result as operational underperformance.</w:t>
      </w:r>
    </w:p>
    <w:p>
      <w:pPr>
        <w:pStyle w:val="Heading3"/>
      </w:pPr>
      <w:r>
        <w:t>Operating-carrier comparison status</w:t>
      </w:r>
    </w:p>
    <w:tbl>
      <w:tblPr>
        <w:tblW w:type="dxa" w:w="10205"/>
        <w:tblLayout w:type="fixed"/>
        <w:tblLook w:firstColumn="1" w:firstRow="1" w:lastColumn="0" w:lastRow="0" w:noHBand="0" w:noVBand="1" w:val="04A0"/>
        <w:jc w:val="left"/>
        <w:tblInd w:w="120" w:type="dxa"/>
      </w:tblPr>
      <w:tblGrid>
        <w:gridCol w:w="3500"/>
        <w:gridCol w:w="1500"/>
        <w:gridCol w:w="1500"/>
        <w:gridCol w:w="3705"/>
      </w:tblGrid>
      <w:tr>
        <w:trPr>
          <w:tblHeader/>
          <w:cantSplit/>
        </w:trPr>
        <w:tc>
          <w:tcPr>
            <w:tcW w:type="dxa" w:w="3500"/>
            <w:tcMar>
              <w:top w:w="100" w:type="dxa"/>
              <w:start w:w="120" w:type="dxa"/>
              <w:bottom w:w="100" w:type="dxa"/>
              <w:end w:w="120" w:type="dxa"/>
            </w:tcMar>
            <w:vAlign w:val="center"/>
            <w:shd w:fill="1F4E78"/>
          </w:tcPr>
          <w:p>
            <w:pPr>
              <w:jc w:val="center"/>
            </w:pPr>
            <w:r>
              <w:rPr>
                <w:rFonts w:ascii="Calibri" w:hAnsi="Calibri"/>
                <w:b/>
                <w:i w:val="0"/>
                <w:color w:val="FFFFFF"/>
                <w:sz w:val="18"/>
              </w:rPr>
              <w:t>Raw bottom screen</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Flights</w:t>
            </w:r>
          </w:p>
        </w:tc>
        <w:tc>
          <w:tcPr>
            <w:tcW w:type="dxa" w:w="1500"/>
            <w:tcMar>
              <w:top w:w="100" w:type="dxa"/>
              <w:start w:w="120" w:type="dxa"/>
              <w:bottom w:w="100" w:type="dxa"/>
              <w:end w:w="120" w:type="dxa"/>
            </w:tcMar>
            <w:vAlign w:val="center"/>
            <w:shd w:fill="1F4E78"/>
          </w:tcPr>
          <w:p>
            <w:pPr>
              <w:jc w:val="center"/>
            </w:pPr>
            <w:r>
              <w:rPr>
                <w:rFonts w:ascii="Calibri" w:hAnsi="Calibri"/>
                <w:b/>
                <w:i w:val="0"/>
                <w:color w:val="FFFFFF"/>
                <w:sz w:val="18"/>
              </w:rPr>
              <w:t>OTP15</w:t>
            </w:r>
          </w:p>
        </w:tc>
        <w:tc>
          <w:tcPr>
            <w:tcW w:type="dxa" w:w="3705"/>
            <w:tcMar>
              <w:top w:w="100" w:type="dxa"/>
              <w:start w:w="120" w:type="dxa"/>
              <w:bottom w:w="100" w:type="dxa"/>
              <w:end w:w="120" w:type="dxa"/>
            </w:tcMar>
            <w:vAlign w:val="center"/>
            <w:shd w:fill="1F4E78"/>
          </w:tcPr>
          <w:p>
            <w:pPr>
              <w:jc w:val="center"/>
            </w:pPr>
            <w:r>
              <w:rPr>
                <w:rFonts w:ascii="Calibri" w:hAnsi="Calibri"/>
                <w:b/>
                <w:i w:val="0"/>
                <w:color w:val="FFFFFF"/>
                <w:sz w:val="18"/>
              </w:rPr>
              <w:t>Adjusted result</w:t>
            </w:r>
          </w:p>
        </w:tc>
      </w:tr>
      <w:tr>
        <w:trPr>
          <w:cantSplit/>
        </w:trPr>
        <w:tc>
          <w:tcPr>
            <w:tcW w:type="dxa" w:w="3500"/>
            <w:tcMar>
              <w:top w:w="100" w:type="dxa"/>
              <w:start w:w="120" w:type="dxa"/>
              <w:bottom w:w="100" w:type="dxa"/>
              <w:end w:w="120" w:type="dxa"/>
            </w:tcMar>
            <w:vAlign w:val="center"/>
          </w:tcPr>
          <w:p>
            <w:pPr>
              <w:jc w:val="left"/>
            </w:pPr>
            <w:r>
              <w:rPr>
                <w:rFonts w:ascii="Calibri" w:hAnsi="Calibri"/>
                <w:b w:val="0"/>
                <w:i w:val="0"/>
                <w:color w:val="1F2937"/>
                <w:sz w:val="18"/>
              </w:rPr>
              <w:t>AIR CANADA (ACA)</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15,358</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35.0%</w:t>
            </w:r>
          </w:p>
        </w:tc>
        <w:tc>
          <w:tcPr>
            <w:tcW w:type="dxa" w:w="3705"/>
            <w:tcMar>
              <w:top w:w="100" w:type="dxa"/>
              <w:start w:w="120" w:type="dxa"/>
              <w:bottom w:w="100" w:type="dxa"/>
              <w:end w:w="120" w:type="dxa"/>
            </w:tcMar>
            <w:vAlign w:val="center"/>
          </w:tcPr>
          <w:p>
            <w:pPr>
              <w:jc w:val="center"/>
            </w:pPr>
            <w:r>
              <w:rPr>
                <w:rFonts w:ascii="Calibri" w:hAnsi="Calibri"/>
                <w:b w:val="0"/>
                <w:i w:val="0"/>
                <w:color w:val="1F2937"/>
                <w:sz w:val="18"/>
              </w:rPr>
              <w:t>Pending model execution</w:t>
            </w:r>
          </w:p>
        </w:tc>
      </w:tr>
      <w:tr>
        <w:trPr>
          <w:cantSplit/>
        </w:trPr>
        <w:tc>
          <w:tcPr>
            <w:tcW w:type="dxa" w:w="3500"/>
            <w:shd w:fill="F7FBFE"/>
            <w:tcMar>
              <w:top w:w="100" w:type="dxa"/>
              <w:start w:w="120" w:type="dxa"/>
              <w:bottom w:w="100" w:type="dxa"/>
              <w:end w:w="120" w:type="dxa"/>
            </w:tcMar>
            <w:vAlign w:val="center"/>
          </w:tcPr>
          <w:p>
            <w:pPr>
              <w:jc w:val="left"/>
            </w:pPr>
            <w:r>
              <w:rPr>
                <w:rFonts w:ascii="Calibri" w:hAnsi="Calibri"/>
                <w:b w:val="0"/>
                <w:i w:val="0"/>
                <w:color w:val="1F2937"/>
                <w:sz w:val="18"/>
              </w:rPr>
              <w:t>SAUDI ARABIAN AIRLINES (SVA)</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11,940</w:t>
            </w:r>
          </w:p>
        </w:tc>
        <w:tc>
          <w:tcPr>
            <w:tcW w:type="dxa" w:w="1500"/>
            <w:shd w:fill="F7FBFE"/>
            <w:tcMar>
              <w:top w:w="100" w:type="dxa"/>
              <w:start w:w="120" w:type="dxa"/>
              <w:bottom w:w="100" w:type="dxa"/>
              <w:end w:w="120" w:type="dxa"/>
            </w:tcMar>
            <w:vAlign w:val="center"/>
          </w:tcPr>
          <w:p>
            <w:pPr>
              <w:jc w:val="center"/>
            </w:pPr>
            <w:r>
              <w:rPr>
                <w:rFonts w:ascii="Calibri" w:hAnsi="Calibri"/>
                <w:b w:val="0"/>
                <w:i w:val="0"/>
                <w:color w:val="1F2937"/>
                <w:sz w:val="18"/>
              </w:rPr>
              <w:t>38.6%</w:t>
            </w:r>
          </w:p>
        </w:tc>
        <w:tc>
          <w:tcPr>
            <w:tcW w:type="dxa" w:w="3705"/>
            <w:shd w:fill="F7FBFE"/>
            <w:tcMar>
              <w:top w:w="100" w:type="dxa"/>
              <w:start w:w="120" w:type="dxa"/>
              <w:bottom w:w="100" w:type="dxa"/>
              <w:end w:w="120" w:type="dxa"/>
            </w:tcMar>
            <w:vAlign w:val="center"/>
          </w:tcPr>
          <w:p>
            <w:pPr>
              <w:jc w:val="center"/>
            </w:pPr>
            <w:r>
              <w:rPr>
                <w:rFonts w:ascii="Calibri" w:hAnsi="Calibri"/>
                <w:b w:val="0"/>
                <w:i w:val="0"/>
                <w:color w:val="1F2937"/>
                <w:sz w:val="18"/>
              </w:rPr>
              <w:t>Pending model execution</w:t>
            </w:r>
          </w:p>
        </w:tc>
      </w:tr>
      <w:tr>
        <w:trPr>
          <w:cantSplit/>
        </w:trPr>
        <w:tc>
          <w:tcPr>
            <w:tcW w:type="dxa" w:w="3500"/>
            <w:tcMar>
              <w:top w:w="100" w:type="dxa"/>
              <w:start w:w="120" w:type="dxa"/>
              <w:bottom w:w="100" w:type="dxa"/>
              <w:end w:w="120" w:type="dxa"/>
            </w:tcMar>
            <w:vAlign w:val="center"/>
          </w:tcPr>
          <w:p>
            <w:pPr>
              <w:jc w:val="left"/>
            </w:pPr>
            <w:r>
              <w:rPr>
                <w:rFonts w:ascii="Calibri" w:hAnsi="Calibri"/>
                <w:b w:val="0"/>
                <w:i w:val="0"/>
                <w:color w:val="1F2937"/>
                <w:sz w:val="18"/>
              </w:rPr>
              <w:t>AIRBRIDGE CARGO AIRLINES LTD (ABW)</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1,469</w:t>
            </w:r>
          </w:p>
        </w:tc>
        <w:tc>
          <w:tcPr>
            <w:tcW w:type="dxa" w:w="1500"/>
            <w:tcMar>
              <w:top w:w="100" w:type="dxa"/>
              <w:start w:w="120" w:type="dxa"/>
              <w:bottom w:w="100" w:type="dxa"/>
              <w:end w:w="120" w:type="dxa"/>
            </w:tcMar>
            <w:vAlign w:val="center"/>
          </w:tcPr>
          <w:p>
            <w:pPr>
              <w:jc w:val="center"/>
            </w:pPr>
            <w:r>
              <w:rPr>
                <w:rFonts w:ascii="Calibri" w:hAnsi="Calibri"/>
                <w:b w:val="0"/>
                <w:i w:val="0"/>
                <w:color w:val="1F2937"/>
                <w:sz w:val="18"/>
              </w:rPr>
              <w:t>42.2%</w:t>
            </w:r>
          </w:p>
        </w:tc>
        <w:tc>
          <w:tcPr>
            <w:tcW w:type="dxa" w:w="3705"/>
            <w:tcMar>
              <w:top w:w="100" w:type="dxa"/>
              <w:start w:w="120" w:type="dxa"/>
              <w:bottom w:w="100" w:type="dxa"/>
              <w:end w:w="120" w:type="dxa"/>
            </w:tcMar>
            <w:vAlign w:val="center"/>
          </w:tcPr>
          <w:p>
            <w:pPr>
              <w:jc w:val="center"/>
            </w:pPr>
            <w:r>
              <w:rPr>
                <w:rFonts w:ascii="Calibri" w:hAnsi="Calibri"/>
                <w:b w:val="0"/>
                <w:i w:val="0"/>
                <w:color w:val="1F2937"/>
                <w:sz w:val="18"/>
              </w:rPr>
              <w:t>Pending model execution</w:t>
            </w:r>
          </w:p>
        </w:tc>
      </w:tr>
    </w:tbl>
    <w:p>
      <w:pPr>
        <w:spacing w:after="20"/>
      </w:pPr>
    </w:p>
    <w:p>
      <w:r>
        <w:rPr>
          <w:rFonts w:ascii="Calibri" w:hAnsi="Calibri"/>
          <w:b w:val="0"/>
          <w:i w:val="0"/>
          <w:color w:val="1F2937"/>
          <w:sz w:val="24"/>
        </w:rPr>
        <w:t>Adjusted carrier comparison is not yet available. The agreed model will control route, origin, destination, scheduled duration, departure hour and period, displaying only operators above 5,000 flights.</w:t>
      </w:r>
    </w:p>
    <w:p>
      <w:pPr>
        <w:pStyle w:val="Heading1"/>
        <w:pageBreakBefore/>
      </w:pPr>
      <w:r>
        <w:t>5. Congestion</w:t>
      </w:r>
    </w:p>
    <w:p>
      <w:r>
        <w:rPr>
          <w:rFonts w:ascii="Calibri" w:hAnsi="Calibri"/>
          <w:b w:val="0"/>
          <w:i w:val="0"/>
          <w:color w:val="1F2937"/>
          <w:sz w:val="24"/>
        </w:rPr>
        <w:t>Congestion is not directly observed. The proxy ranks each airport-date-hour against that origin airport's own traffic distribution and assigns a low, moderate, high or peak quartile. This compares each airport with itself.</w:t>
      </w:r>
    </w:p>
    <w:p>
      <w:pPr>
        <w:keepNext/>
        <w:jc w:val="center"/>
      </w:pPr>
      <w:r>
        <w:drawing>
          <wp:inline xmlns:a="http://schemas.openxmlformats.org/drawingml/2006/main" xmlns:pic="http://schemas.openxmlformats.org/drawingml/2006/picture">
            <wp:extent cx="6300000" cy="3804765"/>
            <wp:docPr id="14" name="Picture 14" descr="Figure 10. Delay rate across within-airport traffic-load quartiles."/>
            <wp:cNvGraphicFramePr>
              <a:graphicFrameLocks noChangeAspect="1"/>
            </wp:cNvGraphicFramePr>
            <a:graphic>
              <a:graphicData uri="http://schemas.openxmlformats.org/drawingml/2006/picture">
                <pic:pic>
                  <pic:nvPicPr>
                    <pic:cNvPr id="0" name="congestion_pressure_performance.png"/>
                    <pic:cNvPicPr/>
                  </pic:nvPicPr>
                  <pic:blipFill>
                    <a:blip r:embed="rId24"/>
                    <a:stretch>
                      <a:fillRect/>
                    </a:stretch>
                  </pic:blipFill>
                  <pic:spPr>
                    <a:xfrm>
                      <a:off x="0" y="0"/>
                      <a:ext cx="6300000" cy="3804765"/>
                    </a:xfrm>
                    <a:prstGeom prst="rect"/>
                  </pic:spPr>
                </pic:pic>
              </a:graphicData>
            </a:graphic>
          </wp:inline>
        </w:drawing>
      </w:r>
    </w:p>
    <w:p>
      <w:pPr>
        <w:spacing w:before="40" w:after="40"/>
        <w:jc w:val="center"/>
      </w:pPr>
      <w:r>
        <w:rPr>
          <w:rFonts w:ascii="Calibri" w:hAnsi="Calibri"/>
          <w:b w:val="0"/>
          <w:i/>
          <w:color w:val="667085"/>
          <w:sz w:val="18"/>
        </w:rPr>
        <w:t>Figure 10. Delay rate across within-airport traffic-load quartiles.</w:t>
      </w:r>
    </w:p>
    <w:p>
      <w:pPr>
        <w:spacing w:before="0" w:after="120"/>
        <w:jc w:val="center"/>
      </w:pPr>
      <w:r>
        <w:rPr>
          <w:rFonts w:ascii="Calibri" w:hAnsi="Calibri"/>
          <w:b w:val="0"/>
          <w:i w:val="0"/>
          <w:color w:val="667085"/>
          <w:sz w:val="17"/>
        </w:rPr>
        <w:t>Association only: pressure is scheduled operated departures within each origin airport.</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Observed pressure gradient  </w:t>
            </w:r>
            <w:r>
              <w:rPr>
                <w:rFonts w:ascii="Calibri" w:hAnsi="Calibri"/>
                <w:b w:val="0"/>
                <w:i w:val="0"/>
                <w:color w:val="1F2937"/>
                <w:sz w:val="22"/>
              </w:rPr>
              <w:t>The delay-above-15 rate rises from 12.0% in low-load airport-hours to 21.1% in peak-load airport-hours, a 9.1-point difference.</w:t>
            </w:r>
          </w:p>
        </w:tc>
      </w:tr>
    </w:tbl>
    <w:p>
      <w:pPr>
        <w:spacing w:after="20"/>
      </w:pPr>
    </w:p>
    <w:p>
      <w:r>
        <w:rPr>
          <w:rFonts w:ascii="Calibri" w:hAnsi="Calibri"/>
          <w:b w:val="0"/>
          <w:i w:val="0"/>
          <w:color w:val="1F2937"/>
          <w:sz w:val="24"/>
        </w:rPr>
        <w:t>The result can guide staffing, stand allocation and monitoring, but does not establish that extra traffic caused the delay. Peak periods can also differ in route mix, weather and accumulated rotation delay.</w:t>
      </w:r>
    </w:p>
    <w:p>
      <w:pPr>
        <w:pStyle w:val="Heading2"/>
        <w:pageBreakBefore/>
      </w:pPr>
      <w:r>
        <w:t>Delay rates by flight duration</w:t>
      </w:r>
    </w:p>
    <w:p>
      <w:pPr>
        <w:keepNext/>
        <w:jc w:val="center"/>
      </w:pPr>
      <w:r>
        <w:drawing>
          <wp:inline xmlns:a="http://schemas.openxmlformats.org/drawingml/2006/main" xmlns:pic="http://schemas.openxmlformats.org/drawingml/2006/picture">
            <wp:extent cx="6192000" cy="3083354"/>
            <wp:docPr id="15" name="Picture 15" descr="Figure 11. Arrival-delay severity and traffic exposure by scheduled flight-duration band."/>
            <wp:cNvGraphicFramePr>
              <a:graphicFrameLocks noChangeAspect="1"/>
            </wp:cNvGraphicFramePr>
            <a:graphic>
              <a:graphicData uri="http://schemas.openxmlformats.org/drawingml/2006/picture">
                <pic:pic>
                  <pic:nvPicPr>
                    <pic:cNvPr id="0" name="duration_delay_context.png"/>
                    <pic:cNvPicPr/>
                  </pic:nvPicPr>
                  <pic:blipFill>
                    <a:blip r:embed="rId25"/>
                    <a:stretch>
                      <a:fillRect/>
                    </a:stretch>
                  </pic:blipFill>
                  <pic:spPr>
                    <a:xfrm>
                      <a:off x="0" y="0"/>
                      <a:ext cx="6192000" cy="3083354"/>
                    </a:xfrm>
                    <a:prstGeom prst="rect"/>
                  </pic:spPr>
                </pic:pic>
              </a:graphicData>
            </a:graphic>
          </wp:inline>
        </w:drawing>
      </w:r>
    </w:p>
    <w:p>
      <w:pPr>
        <w:spacing w:before="40" w:after="40"/>
        <w:jc w:val="center"/>
      </w:pPr>
      <w:r>
        <w:rPr>
          <w:rFonts w:ascii="Calibri" w:hAnsi="Calibri"/>
          <w:b w:val="0"/>
          <w:i/>
          <w:color w:val="667085"/>
          <w:sz w:val="18"/>
        </w:rPr>
        <w:t>Figure 11. Arrival-delay severity and traffic exposure by scheduled flight-duration band.</w:t>
      </w:r>
    </w:p>
    <w:p>
      <w:pPr>
        <w:spacing w:before="0" w:after="120"/>
        <w:jc w:val="center"/>
      </w:pPr>
      <w:r>
        <w:rPr>
          <w:rFonts w:ascii="Calibri" w:hAnsi="Calibri"/>
          <w:b w:val="0"/>
          <w:i w:val="0"/>
          <w:color w:val="667085"/>
          <w:sz w:val="17"/>
        </w:rPr>
        <w:t>Denominator: observed arrivals with a positive scheduled duration. Delay rates show arrivals more than 15, 30 and 60 minutes late; the right panel shows how much traffic each band represents.</w:t>
      </w:r>
    </w:p>
    <w:p>
      <w:r>
        <w:rPr>
          <w:rFonts w:ascii="Calibri" w:hAnsi="Calibri"/>
          <w:b w:val="0"/>
          <w:i w:val="0"/>
          <w:color w:val="1F2937"/>
          <w:sz w:val="24"/>
        </w:rPr>
        <w:t>Flights of 90 minutes or less account for 38.0% of the analysed traffic and have a 10.3% delay-above-15 rate. Flights longer than six hours account for 10.8% and have a 38.7% rate. The 30- and 60-minute bars distinguish routine lateness from more severe disruption.</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D9EAF7"/>
          </w:tcPr>
          <w:p>
            <w:pPr>
              <w:spacing w:after="0"/>
            </w:pPr>
            <w:r>
              <w:rPr>
                <w:rFonts w:ascii="Calibri" w:hAnsi="Calibri"/>
                <w:b/>
                <w:i w:val="0"/>
                <w:color w:val="1F4E78"/>
                <w:sz w:val="22"/>
              </w:rPr>
              <w:t xml:space="preserve">Business interpretation  </w:t>
            </w:r>
            <w:r>
              <w:rPr>
                <w:rFonts w:ascii="Calibri" w:hAnsi="Calibri"/>
                <w:b w:val="0"/>
                <w:i w:val="0"/>
                <w:color w:val="1F2937"/>
                <w:sz w:val="22"/>
              </w:rPr>
              <w:t>Duration bands add context to raw airport, route and carrier OTP15 comparisons. The gradient is descriptive, not a causal duration effect; the unusually high long-haul rate also reinforces the need to audit schedule times, timezones and date rollover. A group with a different route-length mix should not be judged from its unadjusted punctuality rate alone.</w:t>
            </w:r>
          </w:p>
        </w:tc>
      </w:tr>
    </w:tbl>
    <w:p>
      <w:pPr>
        <w:spacing w:after="20"/>
      </w:pPr>
    </w:p>
    <w:p>
      <w:pPr>
        <w:pStyle w:val="Heading1"/>
        <w:pageBreakBefore/>
      </w:pPr>
      <w:r>
        <w:t>6. Weekday and hour</w:t>
      </w:r>
    </w:p>
    <w:p>
      <w:pPr>
        <w:keepNext/>
        <w:jc w:val="center"/>
      </w:pPr>
      <w:r>
        <w:drawing>
          <wp:inline xmlns:a="http://schemas.openxmlformats.org/drawingml/2006/main" xmlns:pic="http://schemas.openxmlformats.org/drawingml/2006/picture">
            <wp:extent cx="6300000" cy="3255277"/>
            <wp:docPr id="16" name="Picture 16" descr="Figure 12. Weekday OTP15 with 95% Wilson intervals."/>
            <wp:cNvGraphicFramePr>
              <a:graphicFrameLocks noChangeAspect="1"/>
            </wp:cNvGraphicFramePr>
            <a:graphic>
              <a:graphicData uri="http://schemas.openxmlformats.org/drawingml/2006/picture">
                <pic:pic>
                  <pic:nvPicPr>
                    <pic:cNvPr id="0" name="weekday_otp15_performance.png"/>
                    <pic:cNvPicPr/>
                  </pic:nvPicPr>
                  <pic:blipFill>
                    <a:blip r:embed="rId26"/>
                    <a:stretch>
                      <a:fillRect/>
                    </a:stretch>
                  </pic:blipFill>
                  <pic:spPr>
                    <a:xfrm>
                      <a:off x="0" y="0"/>
                      <a:ext cx="6300000" cy="3255277"/>
                    </a:xfrm>
                    <a:prstGeom prst="rect"/>
                  </pic:spPr>
                </pic:pic>
              </a:graphicData>
            </a:graphic>
          </wp:inline>
        </w:drawing>
      </w:r>
    </w:p>
    <w:p>
      <w:pPr>
        <w:spacing w:before="40" w:after="40"/>
        <w:jc w:val="center"/>
      </w:pPr>
      <w:r>
        <w:rPr>
          <w:rFonts w:ascii="Calibri" w:hAnsi="Calibri"/>
          <w:b w:val="0"/>
          <w:i/>
          <w:color w:val="667085"/>
          <w:sz w:val="18"/>
        </w:rPr>
        <w:t>Figure 12. Weekday OTP15 with 95% Wilson intervals.</w:t>
      </w:r>
    </w:p>
    <w:p>
      <w:pPr>
        <w:spacing w:before="0" w:after="120"/>
        <w:jc w:val="center"/>
      </w:pPr>
      <w:r>
        <w:rPr>
          <w:rFonts w:ascii="Calibri" w:hAnsi="Calibri"/>
          <w:b w:val="0"/>
          <w:i w:val="0"/>
          <w:color w:val="667085"/>
          <w:sz w:val="17"/>
        </w:rPr>
        <w:t>Each weekday is also tested against the rest of the network with Benjamini-Hochberg adjustment.</w:t>
      </w:r>
    </w:p>
    <w:p>
      <w:pPr>
        <w:keepNext/>
        <w:jc w:val="center"/>
      </w:pPr>
      <w:r>
        <w:drawing>
          <wp:inline xmlns:a="http://schemas.openxmlformats.org/drawingml/2006/main" xmlns:pic="http://schemas.openxmlformats.org/drawingml/2006/picture">
            <wp:extent cx="6300000" cy="2903517"/>
            <wp:docPr id="17" name="Picture 17" descr="Figure 13. OTP15 by scheduled departure weekday and hour."/>
            <wp:cNvGraphicFramePr>
              <a:graphicFrameLocks noChangeAspect="1"/>
            </wp:cNvGraphicFramePr>
            <a:graphic>
              <a:graphicData uri="http://schemas.openxmlformats.org/drawingml/2006/picture">
                <pic:pic>
                  <pic:nvPicPr>
                    <pic:cNvPr id="0" name="time_reliability_heatmap.png"/>
                    <pic:cNvPicPr/>
                  </pic:nvPicPr>
                  <pic:blipFill>
                    <a:blip r:embed="rId27"/>
                    <a:stretch>
                      <a:fillRect/>
                    </a:stretch>
                  </pic:blipFill>
                  <pic:spPr>
                    <a:xfrm>
                      <a:off x="0" y="0"/>
                      <a:ext cx="6300000" cy="2903517"/>
                    </a:xfrm>
                    <a:prstGeom prst="rect"/>
                  </pic:spPr>
                </pic:pic>
              </a:graphicData>
            </a:graphic>
          </wp:inline>
        </w:drawing>
      </w:r>
    </w:p>
    <w:p>
      <w:pPr>
        <w:spacing w:before="40" w:after="40"/>
        <w:jc w:val="center"/>
      </w:pPr>
      <w:r>
        <w:rPr>
          <w:rFonts w:ascii="Calibri" w:hAnsi="Calibri"/>
          <w:b w:val="0"/>
          <w:i/>
          <w:color w:val="667085"/>
          <w:sz w:val="18"/>
        </w:rPr>
        <w:t>Figure 13. OTP15 by scheduled departure weekday and hour.</w:t>
      </w:r>
    </w:p>
    <w:p>
      <w:pPr>
        <w:spacing w:before="0" w:after="120"/>
        <w:jc w:val="center"/>
      </w:pPr>
      <w:r>
        <w:rPr>
          <w:rFonts w:ascii="Calibri" w:hAnsi="Calibri"/>
          <w:b w:val="0"/>
          <w:i w:val="0"/>
          <w:color w:val="667085"/>
          <w:sz w:val="17"/>
        </w:rPr>
        <w:t>The matrix replaces separate hour-only charts that added little decision value.</w:t>
      </w:r>
    </w:p>
    <w:p>
      <w:r>
        <w:rPr>
          <w:rFonts w:ascii="Calibri" w:hAnsi="Calibri"/>
          <w:b w:val="0"/>
          <w:i w:val="0"/>
          <w:color w:val="1F2937"/>
          <w:sz w:val="24"/>
        </w:rPr>
        <w:t>Tuesday is descriptively strongest at 84.3% OTP15 and Saturday weakest at 80.3%. All weekday-versus-rest tests are significant, but none reaches the three-point practical threshold. The heatmap is retained because operational windows can be hidden by a daily average.</w:t>
      </w:r>
    </w:p>
    <w:p>
      <w:pPr>
        <w:pStyle w:val="Heading1"/>
        <w:pageBreakBefore/>
      </w:pPr>
      <w:r>
        <w:t>7. Change monitoring</w:t>
      </w:r>
    </w:p>
    <w:p>
      <w:pPr>
        <w:keepNext/>
        <w:jc w:val="center"/>
      </w:pPr>
      <w:r>
        <w:drawing>
          <wp:inline xmlns:a="http://schemas.openxmlformats.org/drawingml/2006/main" xmlns:pic="http://schemas.openxmlformats.org/drawingml/2006/picture">
            <wp:extent cx="6300000" cy="3436615"/>
            <wp:docPr id="18" name="Picture 18" descr="Figure 14. Three material origin-airport OTP15 deteriorations in the high-volume pool."/>
            <wp:cNvGraphicFramePr>
              <a:graphicFrameLocks noChangeAspect="1"/>
            </wp:cNvGraphicFramePr>
            <a:graphic>
              <a:graphicData uri="http://schemas.openxmlformats.org/drawingml/2006/picture">
                <pic:pic>
                  <pic:nvPicPr>
                    <pic:cNvPr id="0" name="origin_airport_otp15_trend_extremes.png"/>
                    <pic:cNvPicPr/>
                  </pic:nvPicPr>
                  <pic:blipFill>
                    <a:blip r:embed="rId28"/>
                    <a:stretch>
                      <a:fillRect/>
                    </a:stretch>
                  </pic:blipFill>
                  <pic:spPr>
                    <a:xfrm>
                      <a:off x="0" y="0"/>
                      <a:ext cx="6300000" cy="3436615"/>
                    </a:xfrm>
                    <a:prstGeom prst="rect"/>
                  </pic:spPr>
                </pic:pic>
              </a:graphicData>
            </a:graphic>
          </wp:inline>
        </w:drawing>
      </w:r>
    </w:p>
    <w:p>
      <w:pPr>
        <w:spacing w:before="40" w:after="40"/>
        <w:jc w:val="center"/>
      </w:pPr>
      <w:r>
        <w:rPr>
          <w:rFonts w:ascii="Calibri" w:hAnsi="Calibri"/>
          <w:b w:val="0"/>
          <w:i/>
          <w:color w:val="667085"/>
          <w:sz w:val="18"/>
        </w:rPr>
        <w:t>Figure 14. Three material origin-airport OTP15 deteriorations in the high-volume pool.</w:t>
      </w:r>
    </w:p>
    <w:p>
      <w:pPr>
        <w:spacing w:before="0" w:after="120"/>
        <w:jc w:val="center"/>
      </w:pPr>
      <w:r>
        <w:rPr>
          <w:rFonts w:ascii="Calibri" w:hAnsi="Calibri"/>
          <w:b w:val="0"/>
          <w:i w:val="0"/>
          <w:color w:val="667085"/>
          <w:sz w:val="17"/>
        </w:rPr>
        <w:t>At least six snapshots; the asterisk requires adjusted significance and an absolute change of at least 3 points.</w:t>
      </w:r>
    </w:p>
    <w:p>
      <w:pPr>
        <w:keepNext/>
        <w:jc w:val="center"/>
      </w:pPr>
      <w:r>
        <w:drawing>
          <wp:inline xmlns:a="http://schemas.openxmlformats.org/drawingml/2006/main" xmlns:pic="http://schemas.openxmlformats.org/drawingml/2006/picture">
            <wp:extent cx="6300000" cy="3436615"/>
            <wp:docPr id="19" name="Picture 19" descr="Figure 15. Three material operating-carrier OTP15 deteriorations in the high-volume pool."/>
            <wp:cNvGraphicFramePr>
              <a:graphicFrameLocks noChangeAspect="1"/>
            </wp:cNvGraphicFramePr>
            <a:graphic>
              <a:graphicData uri="http://schemas.openxmlformats.org/drawingml/2006/picture">
                <pic:pic>
                  <pic:nvPicPr>
                    <pic:cNvPr id="0" name="operator_otp15_trend_extremes.png"/>
                    <pic:cNvPicPr/>
                  </pic:nvPicPr>
                  <pic:blipFill>
                    <a:blip r:embed="rId29"/>
                    <a:stretch>
                      <a:fillRect/>
                    </a:stretch>
                  </pic:blipFill>
                  <pic:spPr>
                    <a:xfrm>
                      <a:off x="0" y="0"/>
                      <a:ext cx="6300000" cy="3436615"/>
                    </a:xfrm>
                    <a:prstGeom prst="rect"/>
                  </pic:spPr>
                </pic:pic>
              </a:graphicData>
            </a:graphic>
          </wp:inline>
        </w:drawing>
      </w:r>
    </w:p>
    <w:p>
      <w:pPr>
        <w:spacing w:before="40" w:after="40"/>
        <w:jc w:val="center"/>
      </w:pPr>
      <w:r>
        <w:rPr>
          <w:rFonts w:ascii="Calibri" w:hAnsi="Calibri"/>
          <w:b w:val="0"/>
          <w:i/>
          <w:color w:val="667085"/>
          <w:sz w:val="18"/>
        </w:rPr>
        <w:t>Figure 15. Three material operating-carrier OTP15 deteriorations in the high-volume pool.</w:t>
      </w:r>
    </w:p>
    <w:p>
      <w:pPr>
        <w:spacing w:before="0" w:after="120"/>
        <w:jc w:val="center"/>
      </w:pPr>
      <w:r>
        <w:rPr>
          <w:rFonts w:ascii="Calibri" w:hAnsi="Calibri"/>
          <w:b w:val="0"/>
          <w:i w:val="0"/>
          <w:color w:val="667085"/>
          <w:sz w:val="17"/>
        </w:rPr>
        <w:t>Trend magnitude can reflect coverage, route mix or exceptional periods and must be audited before attribution.</w:t>
      </w:r>
    </w:p>
    <w:p>
      <w:r>
        <w:rPr>
          <w:rFonts w:ascii="Calibri" w:hAnsi="Calibri"/>
          <w:b w:val="0"/>
          <w:i w:val="0"/>
          <w:color w:val="1F2937"/>
          <w:sz w:val="24"/>
        </w:rPr>
        <w:t>The displayed high-volume pools contain material deteriorations but no improvements that pass both the adjusted-significance and three-point rules. LPPT and TAP are the largest-volume entities among the displayed severe airport and carrier signals. Several estimated changes are unusually large, so the first business action is a coverage and schedule-time audit, not a performance accusation.</w:t>
      </w:r>
    </w:p>
    <w:p>
      <w:pPr>
        <w:pStyle w:val="Heading1"/>
        <w:pageBreakBefore/>
      </w:pPr>
      <w:r>
        <w:t>8. Recommendations and limitations</w:t>
      </w:r>
    </w:p>
    <w:p>
      <w:pPr>
        <w:pStyle w:val="Heading2"/>
      </w:pPr>
      <w:r>
        <w:t>Recommended investigations</w:t>
      </w:r>
    </w:p>
    <w:p>
      <w:r>
        <w:rPr>
          <w:rFonts w:ascii="Calibri" w:hAnsi="Calibri"/>
          <w:b w:val="0"/>
          <w:i w:val="0"/>
          <w:color w:val="1F2937"/>
          <w:sz w:val="24"/>
        </w:rPr>
        <w:t>Airport action. Investigate high-volume exceptions using matched route, operating carrier and hour slices. Treat long-haul origin extremes as a data-definition check before a local operational finding.</w:t>
      </w:r>
    </w:p>
    <w:p>
      <w:r>
        <w:rPr>
          <w:rFonts w:ascii="Calibri" w:hAnsi="Calibri"/>
          <w:b w:val="0"/>
          <w:i w:val="0"/>
          <w:color w:val="1F2937"/>
          <w:sz w:val="24"/>
        </w:rPr>
        <w:t>Carrier action. Fit the agreed adjusted OTP15 comparison for operators above 5,000 flights, controlling route, origin, destination, scheduled duration, hour and period. Publish adjusted effects and uncertainty alongside the raw screen.</w:t>
      </w:r>
    </w:p>
    <w:p>
      <w:r>
        <w:rPr>
          <w:rFonts w:ascii="Calibri" w:hAnsi="Calibri"/>
          <w:b w:val="0"/>
          <w:i w:val="0"/>
          <w:color w:val="1F2937"/>
          <w:sz w:val="24"/>
        </w:rPr>
        <w:t>Congestion action. Monitor the busiest airport-hour quartile and test whether staffing, stand planning or schedule smoothing changes OTP15 within the same airport.</w:t>
      </w:r>
    </w:p>
    <w:p>
      <w:r>
        <w:rPr>
          <w:rFonts w:ascii="Calibri" w:hAnsi="Calibri"/>
          <w:b w:val="0"/>
          <w:i w:val="0"/>
          <w:color w:val="1F2937"/>
          <w:sz w:val="24"/>
        </w:rPr>
        <w:t>Data action. Acquire consecutive monthly data, cancellations, diversions and passenger or seat exposure. Add weather after the flight-only baseline is frozen. Consecutive periods are more urgent than extra charts because they separate persistent change from isolated snapshots.</w:t>
      </w:r>
    </w:p>
    <w:p>
      <w:pPr>
        <w:pStyle w:val="Heading2"/>
      </w:pPr>
      <w:r>
        <w:t>Limitations</w:t>
      </w:r>
    </w:p>
    <w:p>
      <w:r>
        <w:rPr>
          <w:rFonts w:ascii="Calibri" w:hAnsi="Calibri"/>
          <w:b w:val="0"/>
          <w:i w:val="0"/>
          <w:color w:val="1F2937"/>
          <w:sz w:val="24"/>
        </w:rPr>
        <w:t>The source covers operated flights and omits cancelled services. It contains no passenger counts, revenue, gate assignments or direct congestion measure. Monthly snapshots are non-consecutive. Airport, country-or-territory and carrier results are descriptive and can reflect route mix. P-values become very small at this scale, which is why the three-point rule is mandatory.</w:t>
      </w:r>
    </w:p>
    <w:tbl>
      <w:tblPr>
        <w:tblW w:type="dxa" w:w="10205"/>
        <w:jc w:val="left"/>
        <w:tblLayout w:type="fixed"/>
        <w:tblLook w:firstColumn="1" w:firstRow="1" w:lastColumn="0" w:lastRow="0" w:noHBand="0" w:noVBand="1" w:val="04A0"/>
        <w:tblInd w:w="120" w:type="dxa"/>
      </w:tblPr>
      <w:tblGrid>
        <w:gridCol w:w="10205"/>
      </w:tblGrid>
      <w:tr>
        <w:trPr>
          <w:cantSplit/>
        </w:trPr>
        <w:tc>
          <w:tcPr>
            <w:tcW w:type="dxa" w:w="10205"/>
            <w:tcMar>
              <w:top w:w="100" w:type="dxa"/>
              <w:start w:w="120" w:type="dxa"/>
              <w:bottom w:w="100" w:type="dxa"/>
              <w:end w:w="120" w:type="dxa"/>
            </w:tcMar>
            <w:vAlign w:val="center"/>
            <w:shd w:fill="70AD47"/>
          </w:tcPr>
          <w:p>
            <w:pPr>
              <w:spacing w:after="0"/>
            </w:pPr>
            <w:r>
              <w:rPr>
                <w:rFonts w:ascii="Calibri" w:hAnsi="Calibri"/>
                <w:b/>
                <w:i w:val="0"/>
                <w:color w:val="1F4E78"/>
                <w:sz w:val="22"/>
              </w:rPr>
              <w:t xml:space="preserve">Decision-ready conclusion  </w:t>
            </w:r>
            <w:r>
              <w:rPr>
                <w:rFonts w:ascii="Calibri" w:hAnsi="Calibri"/>
                <w:b w:val="0"/>
                <w:i w:val="0"/>
                <w:color w:val="1F2937"/>
                <w:sz w:val="22"/>
              </w:rPr>
              <w:t>The evidence is strong enough to prioritise high-volume airport, carrier and congestion investigations, but not to assign responsibility. Volume thresholds, Wilson intervals and the three-point rule stop statistical significance being mistaken for operational importance.</w:t>
            </w:r>
          </w:p>
        </w:tc>
      </w:tr>
    </w:tbl>
    <w:p>
      <w:pPr>
        <w:spacing w:after="20"/>
      </w:pPr>
    </w:p>
    <w:p>
      <w:r>
        <w:br w:type="page"/>
      </w:r>
    </w:p>
    <w:p>
      <w:pPr>
        <w:pStyle w:val="Heading1"/>
      </w:pPr>
      <w:r>
        <w:t>Appendix. Auditable outputs</w:t>
      </w:r>
    </w:p>
    <w:tbl>
      <w:tblPr>
        <w:tblW w:type="dxa" w:w="10205"/>
        <w:tblLayout w:type="fixed"/>
        <w:tblLook w:firstColumn="1" w:firstRow="1" w:lastColumn="0" w:lastRow="0" w:noHBand="0" w:noVBand="1" w:val="04A0"/>
        <w:jc w:val="left"/>
        <w:tblInd w:w="120" w:type="dxa"/>
      </w:tblPr>
      <w:tblGrid>
        <w:gridCol w:w="3900"/>
        <w:gridCol w:w="6305"/>
      </w:tblGrid>
      <w:tr>
        <w:trPr>
          <w:tblHeader/>
          <w:cantSplit/>
        </w:trPr>
        <w:tc>
          <w:tcPr>
            <w:tcW w:type="dxa" w:w="3900"/>
            <w:tcMar>
              <w:top w:w="100" w:type="dxa"/>
              <w:start w:w="120" w:type="dxa"/>
              <w:bottom w:w="100" w:type="dxa"/>
              <w:end w:w="120" w:type="dxa"/>
            </w:tcMar>
            <w:vAlign w:val="center"/>
            <w:shd w:fill="1F4E78"/>
          </w:tcPr>
          <w:p>
            <w:pPr>
              <w:jc w:val="center"/>
            </w:pPr>
            <w:r>
              <w:rPr>
                <w:rFonts w:ascii="Calibri" w:hAnsi="Calibri"/>
                <w:b/>
                <w:i w:val="0"/>
                <w:color w:val="FFFFFF"/>
                <w:sz w:val="18"/>
              </w:rPr>
              <w:t>CSV</w:t>
            </w:r>
          </w:p>
        </w:tc>
        <w:tc>
          <w:tcPr>
            <w:tcW w:type="dxa" w:w="6305"/>
            <w:tcMar>
              <w:top w:w="100" w:type="dxa"/>
              <w:start w:w="120" w:type="dxa"/>
              <w:bottom w:w="100" w:type="dxa"/>
              <w:end w:w="120" w:type="dxa"/>
            </w:tcMar>
            <w:vAlign w:val="center"/>
            <w:shd w:fill="1F4E78"/>
          </w:tcPr>
          <w:p>
            <w:pPr>
              <w:jc w:val="center"/>
            </w:pPr>
            <w:r>
              <w:rPr>
                <w:rFonts w:ascii="Calibri" w:hAnsi="Calibri"/>
                <w:b/>
                <w:i w:val="0"/>
                <w:color w:val="FFFFFF"/>
                <w:sz w:val="18"/>
              </w:rPr>
              <w:t>Purpose</w:t>
            </w:r>
          </w:p>
        </w:tc>
      </w:tr>
      <w:tr>
        <w:trPr>
          <w:cantSplit/>
        </w:trPr>
        <w:tc>
          <w:tcPr>
            <w:tcW w:type="dxa" w:w="3900"/>
            <w:tcMar>
              <w:top w:w="100" w:type="dxa"/>
              <w:start w:w="120" w:type="dxa"/>
              <w:bottom w:w="100" w:type="dxa"/>
              <w:end w:w="120" w:type="dxa"/>
            </w:tcMar>
            <w:vAlign w:val="center"/>
          </w:tcPr>
          <w:p>
            <w:pPr>
              <w:jc w:val="left"/>
            </w:pPr>
            <w:r>
              <w:rPr>
                <w:rFonts w:ascii="Calibri" w:hAnsi="Calibri"/>
                <w:b w:val="0"/>
                <w:i w:val="0"/>
                <w:color w:val="1F2937"/>
                <w:sz w:val="18"/>
              </w:rPr>
              <w:t>top200_airports_by_total_movements.csv</w:t>
            </w:r>
          </w:p>
        </w:tc>
        <w:tc>
          <w:tcPr>
            <w:tcW w:type="dxa" w:w="6305"/>
            <w:tcMar>
              <w:top w:w="100" w:type="dxa"/>
              <w:start w:w="120" w:type="dxa"/>
              <w:bottom w:w="100" w:type="dxa"/>
              <w:end w:w="120" w:type="dxa"/>
            </w:tcMar>
            <w:vAlign w:val="center"/>
          </w:tcPr>
          <w:p>
            <w:pPr>
              <w:jc w:val="center"/>
            </w:pPr>
            <w:r>
              <w:rPr>
                <w:rFonts w:ascii="Calibri" w:hAnsi="Calibri"/>
                <w:b w:val="0"/>
                <w:i w:val="0"/>
                <w:color w:val="1F2937"/>
                <w:sz w:val="18"/>
              </w:rPr>
              <w:t>Top-200 airport country, coordinates, movement volume and OTP15.</w:t>
            </w:r>
          </w:p>
        </w:tc>
      </w:tr>
      <w:tr>
        <w:trPr>
          <w:cantSplit/>
        </w:trPr>
        <w:tc>
          <w:tcPr>
            <w:tcW w:type="dxa" w:w="3900"/>
            <w:shd w:fill="F7FBFE"/>
            <w:tcMar>
              <w:top w:w="100" w:type="dxa"/>
              <w:start w:w="120" w:type="dxa"/>
              <w:bottom w:w="100" w:type="dxa"/>
              <w:end w:w="120" w:type="dxa"/>
            </w:tcMar>
            <w:vAlign w:val="center"/>
          </w:tcPr>
          <w:p>
            <w:pPr>
              <w:jc w:val="left"/>
            </w:pPr>
            <w:r>
              <w:rPr>
                <w:rFonts w:ascii="Calibri" w:hAnsi="Calibri"/>
                <w:b w:val="0"/>
                <w:i w:val="0"/>
                <w:color w:val="1F2937"/>
                <w:sz w:val="18"/>
              </w:rPr>
              <w:t>country_statistics_min_1000_movements.csv</w:t>
            </w:r>
          </w:p>
        </w:tc>
        <w:tc>
          <w:tcPr>
            <w:tcW w:type="dxa" w:w="6305"/>
            <w:shd w:fill="F7FBFE"/>
            <w:tcMar>
              <w:top w:w="100" w:type="dxa"/>
              <w:start w:w="120" w:type="dxa"/>
              <w:bottom w:w="100" w:type="dxa"/>
              <w:end w:w="120" w:type="dxa"/>
            </w:tcMar>
            <w:vAlign w:val="center"/>
          </w:tcPr>
          <w:p>
            <w:pPr>
              <w:jc w:val="center"/>
            </w:pPr>
            <w:r>
              <w:rPr>
                <w:rFonts w:ascii="Calibri" w:hAnsi="Calibri"/>
                <w:b w:val="0"/>
                <w:i w:val="0"/>
                <w:color w:val="1F2937"/>
                <w:sz w:val="18"/>
              </w:rPr>
              <w:t>All country results above 1,000 historical movements.</w:t>
            </w:r>
          </w:p>
        </w:tc>
      </w:tr>
      <w:tr>
        <w:trPr>
          <w:cantSplit/>
        </w:trPr>
        <w:tc>
          <w:tcPr>
            <w:tcW w:type="dxa" w:w="3900"/>
            <w:tcMar>
              <w:top w:w="100" w:type="dxa"/>
              <w:start w:w="120" w:type="dxa"/>
              <w:bottom w:w="100" w:type="dxa"/>
              <w:end w:w="120" w:type="dxa"/>
            </w:tcMar>
            <w:vAlign w:val="center"/>
          </w:tcPr>
          <w:p>
            <w:pPr>
              <w:jc w:val="left"/>
            </w:pPr>
            <w:r>
              <w:rPr>
                <w:rFonts w:ascii="Calibri" w:hAnsi="Calibri"/>
                <w:b w:val="0"/>
                <w:i w:val="0"/>
                <w:color w:val="1F2937"/>
                <w:sz w:val="18"/>
              </w:rPr>
              <w:t>weekday_vs_rest_otp15_tests.csv</w:t>
            </w:r>
          </w:p>
        </w:tc>
        <w:tc>
          <w:tcPr>
            <w:tcW w:type="dxa" w:w="6305"/>
            <w:tcMar>
              <w:top w:w="100" w:type="dxa"/>
              <w:start w:w="120" w:type="dxa"/>
              <w:bottom w:w="100" w:type="dxa"/>
              <w:end w:w="120" w:type="dxa"/>
            </w:tcMar>
            <w:vAlign w:val="center"/>
          </w:tcPr>
          <w:p>
            <w:pPr>
              <w:jc w:val="center"/>
            </w:pPr>
            <w:r>
              <w:rPr>
                <w:rFonts w:ascii="Calibri" w:hAnsi="Calibri"/>
                <w:b w:val="0"/>
                <w:i w:val="0"/>
                <w:color w:val="1F2937"/>
                <w:sz w:val="18"/>
              </w:rPr>
              <w:t>Weekday effect sizes, adjusted p-values and practical decisions.</w:t>
            </w:r>
          </w:p>
        </w:tc>
      </w:tr>
      <w:tr>
        <w:trPr>
          <w:cantSplit/>
        </w:trPr>
        <w:tc>
          <w:tcPr>
            <w:tcW w:type="dxa" w:w="3900"/>
            <w:shd w:fill="F7FBFE"/>
            <w:tcMar>
              <w:top w:w="100" w:type="dxa"/>
              <w:start w:w="120" w:type="dxa"/>
              <w:bottom w:w="100" w:type="dxa"/>
              <w:end w:w="120" w:type="dxa"/>
            </w:tcMar>
            <w:vAlign w:val="center"/>
          </w:tcPr>
          <w:p>
            <w:pPr>
              <w:jc w:val="left"/>
            </w:pPr>
            <w:r>
              <w:rPr>
                <w:rFonts w:ascii="Calibri" w:hAnsi="Calibri"/>
                <w:b w:val="0"/>
                <w:i w:val="0"/>
                <w:color w:val="1F2937"/>
                <w:sz w:val="18"/>
              </w:rPr>
              <w:t>top10_origin_airport_period_alerts.csv</w:t>
            </w:r>
          </w:p>
        </w:tc>
        <w:tc>
          <w:tcPr>
            <w:tcW w:type="dxa" w:w="6305"/>
            <w:shd w:fill="F7FBFE"/>
            <w:tcMar>
              <w:top w:w="100" w:type="dxa"/>
              <w:start w:w="120" w:type="dxa"/>
              <w:bottom w:w="100" w:type="dxa"/>
              <w:end w:w="120" w:type="dxa"/>
            </w:tcMar>
            <w:vAlign w:val="center"/>
          </w:tcPr>
          <w:p>
            <w:pPr>
              <w:jc w:val="center"/>
            </w:pPr>
            <w:r>
              <w:rPr>
                <w:rFonts w:ascii="Calibri" w:hAnsi="Calibri"/>
                <w:b w:val="0"/>
                <w:i w:val="0"/>
                <w:color w:val="1F2937"/>
                <w:sz w:val="18"/>
              </w:rPr>
              <w:t>Leave-one-period-out alerts for the ten busiest origins.</w:t>
            </w:r>
          </w:p>
        </w:tc>
      </w:tr>
      <w:tr>
        <w:trPr>
          <w:cantSplit/>
        </w:trPr>
        <w:tc>
          <w:tcPr>
            <w:tcW w:type="dxa" w:w="3900"/>
            <w:tcMar>
              <w:top w:w="100" w:type="dxa"/>
              <w:start w:w="120" w:type="dxa"/>
              <w:bottom w:w="100" w:type="dxa"/>
              <w:end w:w="120" w:type="dxa"/>
            </w:tcMar>
            <w:vAlign w:val="center"/>
          </w:tcPr>
          <w:p>
            <w:pPr>
              <w:jc w:val="left"/>
            </w:pPr>
            <w:r>
              <w:rPr>
                <w:rFonts w:ascii="Calibri" w:hAnsi="Calibri"/>
                <w:b w:val="0"/>
                <w:i w:val="0"/>
                <w:color w:val="1F2937"/>
                <w:sz w:val="18"/>
              </w:rPr>
              <w:t>origin_airport_otp15_trends.csv</w:t>
            </w:r>
          </w:p>
        </w:tc>
        <w:tc>
          <w:tcPr>
            <w:tcW w:type="dxa" w:w="6305"/>
            <w:tcMar>
              <w:top w:w="100" w:type="dxa"/>
              <w:start w:w="120" w:type="dxa"/>
              <w:bottom w:w="100" w:type="dxa"/>
              <w:end w:w="120" w:type="dxa"/>
            </w:tcMar>
            <w:vAlign w:val="center"/>
          </w:tcPr>
          <w:p>
            <w:pPr>
              <w:jc w:val="center"/>
            </w:pPr>
            <w:r>
              <w:rPr>
                <w:rFonts w:ascii="Calibri" w:hAnsi="Calibri"/>
                <w:b w:val="0"/>
                <w:i w:val="0"/>
                <w:color w:val="1F2937"/>
                <w:sz w:val="18"/>
              </w:rPr>
              <w:t>Snapshot trend tests for eligible origin airports.</w:t>
            </w:r>
          </w:p>
        </w:tc>
      </w:tr>
      <w:tr>
        <w:trPr>
          <w:cantSplit/>
        </w:trPr>
        <w:tc>
          <w:tcPr>
            <w:tcW w:type="dxa" w:w="3900"/>
            <w:shd w:fill="F7FBFE"/>
            <w:tcMar>
              <w:top w:w="100" w:type="dxa"/>
              <w:start w:w="120" w:type="dxa"/>
              <w:bottom w:w="100" w:type="dxa"/>
              <w:end w:w="120" w:type="dxa"/>
            </w:tcMar>
            <w:vAlign w:val="center"/>
          </w:tcPr>
          <w:p>
            <w:pPr>
              <w:jc w:val="left"/>
            </w:pPr>
            <w:r>
              <w:rPr>
                <w:rFonts w:ascii="Calibri" w:hAnsi="Calibri"/>
                <w:b w:val="0"/>
                <w:i w:val="0"/>
                <w:color w:val="1F2937"/>
                <w:sz w:val="18"/>
              </w:rPr>
              <w:t>operator_otp15_trends.csv</w:t>
            </w:r>
          </w:p>
        </w:tc>
        <w:tc>
          <w:tcPr>
            <w:tcW w:type="dxa" w:w="6305"/>
            <w:shd w:fill="F7FBFE"/>
            <w:tcMar>
              <w:top w:w="100" w:type="dxa"/>
              <w:start w:w="120" w:type="dxa"/>
              <w:bottom w:w="100" w:type="dxa"/>
              <w:end w:w="120" w:type="dxa"/>
            </w:tcMar>
            <w:vAlign w:val="center"/>
          </w:tcPr>
          <w:p>
            <w:pPr>
              <w:jc w:val="center"/>
            </w:pPr>
            <w:r>
              <w:rPr>
                <w:rFonts w:ascii="Calibri" w:hAnsi="Calibri"/>
                <w:b w:val="0"/>
                <w:i w:val="0"/>
                <w:color w:val="1F2937"/>
                <w:sz w:val="18"/>
              </w:rPr>
              <w:t>Snapshot trend tests for eligible operating carriers.</w:t>
            </w:r>
          </w:p>
        </w:tc>
      </w:tr>
      <w:tr>
        <w:trPr>
          <w:cantSplit/>
        </w:trPr>
        <w:tc>
          <w:tcPr>
            <w:tcW w:type="dxa" w:w="3900"/>
            <w:tcMar>
              <w:top w:w="100" w:type="dxa"/>
              <w:start w:w="120" w:type="dxa"/>
              <w:bottom w:w="100" w:type="dxa"/>
              <w:end w:w="120" w:type="dxa"/>
            </w:tcMar>
            <w:vAlign w:val="center"/>
          </w:tcPr>
          <w:p>
            <w:pPr>
              <w:jc w:val="left"/>
            </w:pPr>
            <w:r>
              <w:rPr>
                <w:rFonts w:ascii="Calibri" w:hAnsi="Calibri"/>
                <w:b w:val="0"/>
                <w:i w:val="0"/>
                <w:color w:val="1F2937"/>
                <w:sz w:val="18"/>
              </w:rPr>
              <w:t>operator_relative_delay_performance.csv</w:t>
            </w:r>
          </w:p>
        </w:tc>
        <w:tc>
          <w:tcPr>
            <w:tcW w:type="dxa" w:w="6305"/>
            <w:tcMar>
              <w:top w:w="100" w:type="dxa"/>
              <w:start w:w="120" w:type="dxa"/>
              <w:bottom w:w="100" w:type="dxa"/>
              <w:end w:w="120" w:type="dxa"/>
            </w:tcMar>
            <w:vAlign w:val="center"/>
          </w:tcPr>
          <w:p>
            <w:pPr>
              <w:jc w:val="center"/>
            </w:pPr>
            <w:r>
              <w:rPr>
                <w:rFonts w:ascii="Calibri" w:hAnsi="Calibri"/>
                <w:b w:val="0"/>
                <w:i w:val="0"/>
                <w:color w:val="1F2937"/>
                <w:sz w:val="18"/>
              </w:rPr>
              <w:t>Operating-carrier delay minutes scaled by scheduled flight duration.</w:t>
            </w:r>
          </w:p>
        </w:tc>
      </w:tr>
      <w:tr>
        <w:trPr>
          <w:cantSplit/>
        </w:trPr>
        <w:tc>
          <w:tcPr>
            <w:tcW w:type="dxa" w:w="3900"/>
            <w:shd w:fill="F7FBFE"/>
            <w:tcMar>
              <w:top w:w="100" w:type="dxa"/>
              <w:start w:w="120" w:type="dxa"/>
              <w:bottom w:w="100" w:type="dxa"/>
              <w:end w:w="120" w:type="dxa"/>
            </w:tcMar>
            <w:vAlign w:val="center"/>
          </w:tcPr>
          <w:p>
            <w:pPr>
              <w:jc w:val="left"/>
            </w:pPr>
            <w:r>
              <w:rPr>
                <w:rFonts w:ascii="Calibri" w:hAnsi="Calibri"/>
                <w:b w:val="0"/>
                <w:i w:val="0"/>
                <w:color w:val="1F2937"/>
                <w:sz w:val="18"/>
              </w:rPr>
              <w:t>ryanair_wizz_shared_directional_routes.csv</w:t>
            </w:r>
          </w:p>
        </w:tc>
        <w:tc>
          <w:tcPr>
            <w:tcW w:type="dxa" w:w="6305"/>
            <w:shd w:fill="F7FBFE"/>
            <w:tcMar>
              <w:top w:w="100" w:type="dxa"/>
              <w:start w:w="120" w:type="dxa"/>
              <w:bottom w:w="100" w:type="dxa"/>
              <w:end w:w="120" w:type="dxa"/>
            </w:tcMar>
            <w:vAlign w:val="center"/>
          </w:tcPr>
          <w:p>
            <w:pPr>
              <w:jc w:val="center"/>
            </w:pPr>
            <w:r>
              <w:rPr>
                <w:rFonts w:ascii="Calibri" w:hAnsi="Calibri"/>
                <w:b w:val="0"/>
                <w:i w:val="0"/>
                <w:color w:val="1F2937"/>
                <w:sz w:val="18"/>
              </w:rPr>
              <w:t>Ryanair and Wizz Air results on eligible shared directional routes.</w:t>
            </w:r>
          </w:p>
        </w:tc>
      </w:tr>
      <w:tr>
        <w:trPr>
          <w:cantSplit/>
        </w:trPr>
        <w:tc>
          <w:tcPr>
            <w:tcW w:type="dxa" w:w="3900"/>
            <w:tcMar>
              <w:top w:w="100" w:type="dxa"/>
              <w:start w:w="120" w:type="dxa"/>
              <w:bottom w:w="100" w:type="dxa"/>
              <w:end w:w="120" w:type="dxa"/>
            </w:tcMar>
            <w:vAlign w:val="center"/>
          </w:tcPr>
          <w:p>
            <w:pPr>
              <w:jc w:val="left"/>
            </w:pPr>
            <w:r>
              <w:rPr>
                <w:rFonts w:ascii="Calibri" w:hAnsi="Calibri"/>
                <w:b w:val="0"/>
                <w:i w:val="0"/>
                <w:color w:val="1F2937"/>
                <w:sz w:val="18"/>
              </w:rPr>
              <w:t>madrid_milan_period_performance.csv</w:t>
            </w:r>
          </w:p>
        </w:tc>
        <w:tc>
          <w:tcPr>
            <w:tcW w:type="dxa" w:w="6305"/>
            <w:tcMar>
              <w:top w:w="100" w:type="dxa"/>
              <w:start w:w="120" w:type="dxa"/>
              <w:bottom w:w="100" w:type="dxa"/>
              <w:end w:w="120" w:type="dxa"/>
            </w:tcMar>
            <w:vAlign w:val="center"/>
          </w:tcPr>
          <w:p>
            <w:pPr>
              <w:jc w:val="center"/>
            </w:pPr>
            <w:r>
              <w:rPr>
                <w:rFonts w:ascii="Calibri" w:hAnsi="Calibri"/>
                <w:b w:val="0"/>
                <w:i w:val="0"/>
                <w:color w:val="1F2937"/>
                <w:sz w:val="18"/>
              </w:rPr>
              <w:t>Madrid-Milan passenger-airline performance by snapshot.</w:t>
            </w:r>
          </w:p>
        </w:tc>
      </w:tr>
      <w:tr>
        <w:trPr>
          <w:cantSplit/>
        </w:trPr>
        <w:tc>
          <w:tcPr>
            <w:tcW w:type="dxa" w:w="3900"/>
            <w:shd w:fill="F7FBFE"/>
            <w:tcMar>
              <w:top w:w="100" w:type="dxa"/>
              <w:start w:w="120" w:type="dxa"/>
              <w:bottom w:w="100" w:type="dxa"/>
              <w:end w:w="120" w:type="dxa"/>
            </w:tcMar>
            <w:vAlign w:val="center"/>
          </w:tcPr>
          <w:p>
            <w:pPr>
              <w:jc w:val="left"/>
            </w:pPr>
            <w:r>
              <w:rPr>
                <w:rFonts w:ascii="Calibri" w:hAnsi="Calibri"/>
                <w:b w:val="0"/>
                <w:i w:val="0"/>
                <w:color w:val="1F2937"/>
                <w:sz w:val="18"/>
              </w:rPr>
              <w:t>madrid_milan_operator_performance.csv</w:t>
            </w:r>
          </w:p>
        </w:tc>
        <w:tc>
          <w:tcPr>
            <w:tcW w:type="dxa" w:w="6305"/>
            <w:shd w:fill="F7FBFE"/>
            <w:tcMar>
              <w:top w:w="100" w:type="dxa"/>
              <w:start w:w="120" w:type="dxa"/>
              <w:bottom w:w="100" w:type="dxa"/>
              <w:end w:w="120" w:type="dxa"/>
            </w:tcMar>
            <w:vAlign w:val="center"/>
          </w:tcPr>
          <w:p>
            <w:pPr>
              <w:jc w:val="center"/>
            </w:pPr>
            <w:r>
              <w:rPr>
                <w:rFonts w:ascii="Calibri" w:hAnsi="Calibri"/>
                <w:b w:val="0"/>
                <w:i w:val="0"/>
                <w:color w:val="1F2937"/>
                <w:sz w:val="18"/>
              </w:rPr>
              <w:t>Madrid-Milan passenger-airline comparison.</w:t>
            </w:r>
          </w:p>
        </w:tc>
      </w:tr>
      <w:tr>
        <w:trPr>
          <w:cantSplit/>
        </w:trPr>
        <w:tc>
          <w:tcPr>
            <w:tcW w:type="dxa" w:w="3900"/>
            <w:tcMar>
              <w:top w:w="100" w:type="dxa"/>
              <w:start w:w="120" w:type="dxa"/>
              <w:bottom w:w="100" w:type="dxa"/>
              <w:end w:w="120" w:type="dxa"/>
            </w:tcMar>
            <w:vAlign w:val="center"/>
          </w:tcPr>
          <w:p>
            <w:pPr>
              <w:jc w:val="left"/>
            </w:pPr>
            <w:r>
              <w:rPr>
                <w:rFonts w:ascii="Calibri" w:hAnsi="Calibri"/>
                <w:b w:val="0"/>
                <w:i w:val="0"/>
                <w:color w:val="1F2937"/>
                <w:sz w:val="18"/>
              </w:rPr>
              <w:t>madrid_milan_hour_performance.csv</w:t>
            </w:r>
          </w:p>
        </w:tc>
        <w:tc>
          <w:tcPr>
            <w:tcW w:type="dxa" w:w="6305"/>
            <w:tcMar>
              <w:top w:w="100" w:type="dxa"/>
              <w:start w:w="120" w:type="dxa"/>
              <w:bottom w:w="100" w:type="dxa"/>
              <w:end w:w="120" w:type="dxa"/>
            </w:tcMar>
            <w:vAlign w:val="center"/>
          </w:tcPr>
          <w:p>
            <w:pPr>
              <w:jc w:val="center"/>
            </w:pPr>
            <w:r>
              <w:rPr>
                <w:rFonts w:ascii="Calibri" w:hAnsi="Calibri"/>
                <w:b w:val="0"/>
                <w:i w:val="0"/>
                <w:color w:val="1F2937"/>
                <w:sz w:val="18"/>
              </w:rPr>
              <w:t>Madrid-Milan scheduled-departure-hour screen.</w:t>
            </w:r>
          </w:p>
        </w:tc>
      </w:tr>
    </w:tbl>
    <w:p>
      <w:pPr>
        <w:spacing w:after="20"/>
      </w:pPr>
    </w:p>
    <w:p>
      <w:r>
        <w:rPr>
          <w:rFonts w:ascii="Calibri" w:hAnsi="Calibri"/>
          <w:b w:val="0"/>
          <w:i w:val="0"/>
          <w:color w:val="1F2937"/>
          <w:sz w:val="24"/>
        </w:rPr>
        <w:t>Dense exploratory charts and all calculation tables remain in the analysis outputs for traceability. They were omitted from this executive report when they repeated a clearer chart or relied on low-volume entities.</w:t>
      </w:r>
    </w:p>
    <w:sectPr w:rsidR="00FC693F" w:rsidRPr="0006063C" w:rsidSect="00034616">
      <w:headerReference w:type="default" r:id="rId9"/>
      <w:footerReference w:type="default" r:id="rId10"/>
      <w:pgSz w:w="11906" w:h="16838"/>
      <w:pgMar w:top="850" w:right="850" w:bottom="850" w:left="85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EUROPEAN SCHEDULED AVIATION PERFORMANCE  |  BUSINESS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B9BD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