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17365D"/>
          <w:sz w:val="44"/>
        </w:rPr>
        <w:t>SUMMARY REPORT</w:t>
      </w:r>
    </w:p>
    <w:p>
      <w:pPr>
        <w:spacing w:after="100"/>
      </w:pPr>
      <w:r>
        <w:rPr>
          <w:b/>
          <w:color w:val="2E74B5"/>
          <w:sz w:val="22"/>
        </w:rPr>
        <w:t>Predicción del retraso de llegada una hora antes de la salida</w:t>
      </w:r>
      <w:r>
        <w:rPr>
          <w:color w:val="667085"/>
          <w:sz w:val="17"/>
        </w:rPr>
        <w:t xml:space="preserve">  |  Estado a 13 de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3487"/>
        <w:gridCol w:w="3487"/>
        <w:gridCol w:w="3487"/>
      </w:tblGrid>
      <w:tr>
        <w:tc>
          <w:tcPr>
            <w:tcW w:type="dxa" w:w="3666"/>
            <w:shd w:fill="DCE6F1"/>
            <w:tcMar>
              <w:top w:w="8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7365D"/>
                <w:sz w:val="15"/>
              </w:rPr>
              <w:t>RMSE GLOBAL · 25%</w:t>
            </w:r>
          </w:p>
          <w:p>
            <w:pPr>
              <w:spacing w:after="0"/>
              <w:jc w:val="center"/>
            </w:pPr>
            <w:r>
              <w:rPr>
                <w:b/>
                <w:color w:val="17365D"/>
                <w:sz w:val="24"/>
              </w:rPr>
              <w:t>15,49 → 14,75 min</w:t>
            </w:r>
          </w:p>
          <w:p>
            <w:pPr>
              <w:spacing w:after="0"/>
              <w:jc w:val="center"/>
            </w:pPr>
            <w:r>
              <w:rPr>
                <w:color w:val="667085"/>
                <w:sz w:val="14"/>
              </w:rPr>
              <w:t>−4,8% frente al baseline</w:t>
            </w:r>
          </w:p>
        </w:tc>
        <w:tc>
          <w:tcPr>
            <w:tcW w:type="dxa" w:w="3666"/>
            <w:shd w:fill="DCE6F1"/>
            <w:tcMar>
              <w:top w:w="8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7365D"/>
                <w:sz w:val="15"/>
              </w:rPr>
              <w:t>MAE VUELOS &gt;15 MIN</w:t>
            </w:r>
          </w:p>
          <w:p>
            <w:pPr>
              <w:spacing w:after="0"/>
              <w:jc w:val="center"/>
            </w:pPr>
            <w:r>
              <w:rPr>
                <w:b/>
                <w:color w:val="17365D"/>
                <w:sz w:val="24"/>
              </w:rPr>
              <w:t>21,66 → 18,20 min</w:t>
            </w:r>
          </w:p>
          <w:p>
            <w:pPr>
              <w:spacing w:after="0"/>
              <w:jc w:val="center"/>
            </w:pPr>
            <w:r>
              <w:rPr>
                <w:color w:val="667085"/>
                <w:sz w:val="14"/>
              </w:rPr>
              <w:t>−16,0% frente al baseline</w:t>
            </w:r>
          </w:p>
        </w:tc>
        <w:tc>
          <w:tcPr>
            <w:tcW w:type="dxa" w:w="3666"/>
            <w:shd w:fill="DDF2EA"/>
            <w:tcMar>
              <w:top w:w="8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B7F5A"/>
                <w:sz w:val="15"/>
              </w:rPr>
              <w:t>CRITERIO COMBINADO</w:t>
            </w:r>
          </w:p>
          <w:p>
            <w:pPr>
              <w:spacing w:after="0"/>
              <w:jc w:val="center"/>
            </w:pPr>
            <w:r>
              <w:rPr>
                <w:b/>
                <w:color w:val="17365D"/>
                <w:sz w:val="24"/>
              </w:rPr>
              <w:t>14,05 min</w:t>
            </w:r>
          </w:p>
          <w:p>
            <w:pPr>
              <w:spacing w:after="0"/>
              <w:jc w:val="center"/>
            </w:pPr>
            <w:r>
              <w:rPr>
                <w:color w:val="667085"/>
                <w:sz w:val="14"/>
              </w:rPr>
              <w:t>Ridge: mejor equilibrio</w:t>
            </w:r>
          </w:p>
        </w:tc>
      </w:tr>
    </w:tbl>
    <w:p>
      <w:pPr>
        <w:sectPr>
          <w:footerReference w:type="default" r:id="rId9"/>
          <w:pgSz w:w="11905" w:h="16838"/>
          <w:pgMar w:top="369" w:right="454" w:bottom="369" w:left="454" w:header="142" w:footer="159" w:gutter="0"/>
          <w:cols w:space="720"/>
          <w:docGrid w:linePitch="360"/>
        </w:sectPr>
      </w:pPr>
    </w:p>
    <w:p>
      <w:pPr>
        <w:pStyle w:val="SummaryHeading"/>
        <w:keepNext/>
      </w:pPr>
      <w:r>
        <w:t>Mayores aportaciones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Horizonte operativo T−60: solo usa información disponible una hora antes; la auditoría detectó cero eventos futuros.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Variables operativas: actividad y retraso observado por origen, destino, ruta y operador en ventanas de 1 y 24 horas; se descartó 6 h tras la ablación.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Rotación de aeronave: retraso del vuelo anterior, tiempo desde su llegada y disponibilidad del avión.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Calendario y vuelo: duración programada, hora/día cíclicos, mes y nivel de vuelo solicitado.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Categorías: one-hot solo para baja cardinalidad; AC Type raro → OTHER y hashing para aeronave, aeropuertos y operador.</w:t>
      </w:r>
    </w:p>
    <w:p>
      <w:pPr>
        <w:pStyle w:val="SummaryHeading"/>
        <w:keepNext/>
      </w:pPr>
      <w:r>
        <w:t>Modelos probados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Baselines: mediana global, ruta y ruta+aerolínea con fallbacks.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Ridge con variables sin transformar, log y Yeo–Johnson.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Random Forest, Gradient-Boosted Trees, XGBoost y CatBoost.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Ensemble Ridge + CatBoost con variables operativas T−60.</w:t>
      </w:r>
    </w:p>
    <w:p>
      <w:pPr>
        <w:pStyle w:val="SummaryHeading"/>
        <w:keepNext/>
      </w:pPr>
      <w:r>
        <w:t>Ridge frente al baseline histórico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1"/>
        <w:gridCol w:w="765"/>
        <w:gridCol w:w="709"/>
        <w:gridCol w:w="709"/>
      </w:tblGrid>
      <w:tr>
        <w:trPr>
          <w:tblHeader w:val="true"/>
        </w:trPr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Métrica (min)</w:t>
            </w:r>
          </w:p>
        </w:tc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Baseline</w:t>
            </w:r>
          </w:p>
        </w:tc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Ridge</w:t>
            </w:r>
          </w:p>
        </w:tc>
        <w:tc>
          <w:tcPr>
            <w:tcW w:type="dxa" w:w="2749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Mejora</w:t>
            </w:r>
          </w:p>
        </w:tc>
      </w:tr>
      <w:tr>
        <w:tc>
          <w:tcPr>
            <w:tcW w:type="dxa" w:w="1531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5"/>
              </w:rPr>
              <w:t>Global MAE</w:t>
            </w:r>
          </w:p>
        </w:tc>
        <w:tc>
          <w:tcPr>
            <w:tcW w:type="dxa" w:w="765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10,13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9,89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5"/>
              </w:rPr>
              <w:t>−2,3%</w:t>
            </w:r>
          </w:p>
        </w:tc>
      </w:tr>
      <w:tr>
        <w:tc>
          <w:tcPr>
            <w:tcW w:type="dxa" w:w="1531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5"/>
              </w:rPr>
              <w:t>Global RMSE</w:t>
            </w:r>
          </w:p>
        </w:tc>
        <w:tc>
          <w:tcPr>
            <w:tcW w:type="dxa" w:w="765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15,49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14,75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5"/>
              </w:rPr>
              <w:t>−4,8%</w:t>
            </w:r>
          </w:p>
        </w:tc>
      </w:tr>
      <w:tr>
        <w:tc>
          <w:tcPr>
            <w:tcW w:type="dxa" w:w="1531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5"/>
              </w:rPr>
              <w:t>MAE &gt;15 min</w:t>
            </w:r>
          </w:p>
        </w:tc>
        <w:tc>
          <w:tcPr>
            <w:tcW w:type="dxa" w:w="765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21,66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18,20</w:t>
            </w:r>
          </w:p>
        </w:tc>
        <w:tc>
          <w:tcPr>
            <w:tcW w:type="dxa" w:w="709"/>
            <w:shd w:fill="FFFFFF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5"/>
              </w:rPr>
              <w:t>−16,0%</w:t>
            </w:r>
          </w:p>
        </w:tc>
      </w:tr>
      <w:tr>
        <w:tc>
          <w:tcPr>
            <w:tcW w:type="dxa" w:w="1531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left"/>
            </w:pPr>
            <w:r>
              <w:rPr>
                <w:sz w:val="15"/>
              </w:rPr>
              <w:t>RMSE &gt;15 min</w:t>
            </w:r>
          </w:p>
        </w:tc>
        <w:tc>
          <w:tcPr>
            <w:tcW w:type="dxa" w:w="765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29,11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sz w:val="15"/>
              </w:rPr>
              <w:t>25,86</w:t>
            </w:r>
          </w:p>
        </w:tc>
        <w:tc>
          <w:tcPr>
            <w:tcW w:type="dxa" w:w="709"/>
            <w:shd w:fill="F2F4F7"/>
            <w:tcMar>
              <w:top w:w="52" w:type="dxa"/>
              <w:start w:w="55" w:type="dxa"/>
              <w:bottom w:w="52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1B7F5A"/>
                <w:sz w:val="15"/>
              </w:rPr>
              <w:t>−11,2%</w:t>
            </w:r>
          </w:p>
        </w:tc>
      </w:tr>
    </w:tbl>
    <w:p>
      <w:pPr>
        <w:pStyle w:val="SummaryBody"/>
        <w:spacing w:before="40"/>
      </w:pPr>
      <w:r>
        <w:rPr>
          <w:b/>
        </w:rPr>
        <w:t xml:space="preserve">Comparación homogénea: </w:t>
      </w:r>
      <w:r>
        <w:t>ambos ajustados con el mismo 25% determinista de train y evaluados en las mismas 29.315 filas.</w:t>
      </w:r>
    </w:p>
    <w:p>
      <w:pPr>
        <w:spacing w:after="0"/>
      </w:pPr>
      <w:r>
        <w:br w:type="column"/>
      </w:r>
    </w:p>
    <w:p>
      <w:pPr>
        <w:pStyle w:val="SummaryHeading"/>
        <w:keepNext/>
      </w:pPr>
      <w:r>
        <w:t>¿Por qué Ridge es la mejor elección actual?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Selección alineada al 10%: MAE global y MAE de vuelos con más de 15 min pesan al 50%; Ridge obtiene el mejor criterio combinado, 14,07 min.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En esa comparación al 10%, CatBoost gana ligeramente en promedio global (MAE 9,54; RMSE 14,67), pero Ridge predice mejor los retrasos elevados (MAE 18,21 frente a 19,63).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Es estable, regularizado y eficiente con matrices dispersas y hashing: una ventaja decisiva con la RAM disponible.</w:t>
      </w:r>
    </w:p>
    <w:p>
      <w:pPr>
        <w:pStyle w:val="SummaryBullet"/>
        <w:keepLines/>
      </w:pPr>
      <w:r>
        <w:rPr>
          <w:b/>
          <w:color w:val="2E74B5"/>
        </w:rPr>
        <w:t xml:space="preserve">• </w:t>
      </w:r>
      <w:r>
        <w:t>Su lectura es clara: las señales operativas recientes y la rotación aportan más que aumentar por sí sola la complejidad del algoritmo.</w:t>
      </w:r>
    </w:p>
    <w:p>
      <w:pPr>
        <w:pStyle w:val="SummaryBody"/>
        <w:spacing w:before="80" w:after="80" w:line="250" w:lineRule="auto"/>
        <w:ind w:left="45" w:right="45"/>
        <w:shd w:fill="DCE6F1"/>
        <w:pBdr>
          <w:left w:val="single" w:sz="18" w:space="6" w:color="2E74B5"/>
        </w:pBdr>
        <w:keepLines/>
      </w:pPr>
      <w:r>
        <w:rPr>
          <w:b/>
          <w:color w:val="17365D"/>
          <w:sz w:val="18"/>
        </w:rPr>
        <w:t>Interpretación ejecutiva</w:t>
      </w:r>
      <w:r>
        <w:br/>
      </w:r>
      <w:r>
        <w:t>Con 25% de train, Ridge reduce el RMSE global en 0,74 minutos (4,8%) y el MAE de retrasos elevados en 3,46 minutos (16,0%). El mayor valor está en detectar mejor los casos operativamente difíciles.</w:t>
      </w:r>
    </w:p>
    <w:p>
      <w:pPr>
        <w:pStyle w:val="SummaryHeading"/>
        <w:keepNext/>
      </w:pPr>
      <w:r>
        <w:t>Siguientes pasos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1. </w:t>
      </w:r>
      <w:r>
        <w:t>25% completado: 613.884 vuelos de train. El criterio combinado mejora solo 0,027 min frente al 10%; no continuar aún a 50%/100%.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2. </w:t>
      </w:r>
      <w:r>
        <w:t>Priorizar más meses/años y nuevas señales operativas; el límite actual no parece ser la cantidad de filas dentro de los mismos meses.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3. </w:t>
      </w:r>
      <w:r>
        <w:t>Validar estabilidad por mes, aeropuerto, ruta y nivel de retraso; mantener marzo de 2023 como prueba final intacta.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4. </w:t>
      </w:r>
      <w:r>
        <w:t>Ampliar meses/años antes de añadir meteorología; aporta mejor cobertura de estacionalidad y eventos poco frecuentes.</w:t>
      </w:r>
    </w:p>
    <w:p>
      <w:pPr>
        <w:pStyle w:val="SummaryBody"/>
        <w:ind w:left="283" w:hanging="283"/>
        <w:keepLines/>
      </w:pPr>
      <w:r>
        <w:rPr>
          <w:b/>
          <w:color w:val="2E74B5"/>
        </w:rPr>
        <w:t xml:space="preserve">5. </w:t>
      </w:r>
      <w:r>
        <w:t>Después, evaluar meteorología, modelo en dos etapas (retrasado/no retrasado + minutos) y LightGBM/SynapseML como trabajo futuro.</w:t>
      </w:r>
    </w:p>
    <w:p>
      <w:pPr>
        <w:pStyle w:val="SummaryBody"/>
        <w:spacing w:before="80" w:after="80" w:line="250" w:lineRule="auto"/>
        <w:ind w:left="45" w:right="45"/>
        <w:shd w:fill="DDF2EA"/>
        <w:pBdr>
          <w:left w:val="single" w:sz="18" w:space="6" w:color="E4A11B"/>
        </w:pBdr>
        <w:keepLines/>
      </w:pPr>
      <w:r>
        <w:rPr>
          <w:b/>
          <w:color w:val="17365D"/>
          <w:sz w:val="18"/>
        </w:rPr>
        <w:t>Decisión de escalado: no continuar todavía</w:t>
      </w:r>
      <w:r>
        <w:br/>
      </w:r>
      <w:r>
        <w:t>Ridge 25% mejora el MAE y RMSE globales solo 0,049 min frente al 10%. Es una señal positiva, pero el beneficio práctico no compensa aún el coste de entrenar al 50%/100%. Test no leído.</w:t>
      </w:r>
    </w:p>
    <w:sectPr w:rsidR="00FC693F" w:rsidRPr="0006063C" w:rsidSect="00034616">
      <w:type w:val="continuous"/>
      <w:pgSz w:w="11905" w:h="16838"/>
      <w:pgMar w:top="369" w:right="454" w:bottom="369" w:left="454" w:header="142" w:footer="159" w:gutter="0"/>
      <w:cols w:space="42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7085"/>
        <w:sz w:val="14"/>
      </w:rPr>
      <w:t>Validación temporal: diciembre de 2022 · 29.315 vuelos · test de marzo de 2023 intacto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2431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Heading">
    <w:name w:val="Summary Heading"/>
    <w:pPr>
      <w:spacing w:before="140" w:after="80"/>
    </w:pPr>
    <w:rPr>
      <w:rFonts w:ascii="Calibri" w:hAnsi="Calibri"/>
      <w:b/>
      <w:color w:val="2E74B5"/>
      <w:sz w:val="24"/>
    </w:rPr>
  </w:style>
  <w:style w:type="paragraph" w:customStyle="1" w:styleId="SummaryBody">
    <w:name w:val="Summary Body"/>
    <w:pPr>
      <w:spacing w:after="60" w:line="250" w:lineRule="auto"/>
    </w:pPr>
    <w:rPr>
      <w:rFonts w:ascii="Calibri" w:hAnsi="Calibri"/>
      <w:color w:val="243142"/>
      <w:sz w:val="18"/>
    </w:rPr>
  </w:style>
  <w:style w:type="paragraph" w:customStyle="1" w:styleId="SummaryBullet">
    <w:name w:val="Summary Bullet"/>
    <w:pPr>
      <w:spacing w:after="56" w:line="245" w:lineRule="auto"/>
      <w:ind w:left="238" w:hanging="159"/>
      <w:contextualSpacing/>
    </w:pPr>
    <w:rPr>
      <w:rFonts w:ascii="Calibri" w:hAnsi="Calibri"/>
      <w:color w:val="24314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Report — Predicción de retraso de llegada T−60</dc:title>
  <dc:subject>Aportaciones, resultados y siguientes pasos</dc:subject>
  <dc:creator>Proyecto ML Flights</dc:creator>
  <cp:keywords>flight delay, Ridge, CatBoost, T-60, MAE, RMSE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