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3C13" w14:textId="77777777" w:rsidR="007D5C01" w:rsidRPr="007D5C01" w:rsidRDefault="007D5C01" w:rsidP="007D5C01">
      <w:pPr>
        <w:spacing w:line="360" w:lineRule="auto"/>
        <w:jc w:val="both"/>
        <w:rPr>
          <w:rFonts w:ascii="Times New Roman" w:hAnsi="Times New Roman" w:cs="Times New Roman"/>
          <w:b/>
          <w:sz w:val="24"/>
        </w:rPr>
      </w:pPr>
    </w:p>
    <w:p w14:paraId="7D69A95F" w14:textId="77777777" w:rsidR="007D5C01" w:rsidRPr="007D5C01" w:rsidRDefault="007D5C01" w:rsidP="007D5C01">
      <w:pPr>
        <w:spacing w:line="360" w:lineRule="auto"/>
        <w:jc w:val="center"/>
        <w:rPr>
          <w:rFonts w:ascii="Times New Roman" w:hAnsi="Times New Roman" w:cs="Times New Roman"/>
          <w:b/>
          <w:sz w:val="24"/>
        </w:rPr>
      </w:pPr>
      <w:r w:rsidRPr="007D5C01">
        <w:rPr>
          <w:rFonts w:ascii="Times New Roman" w:hAnsi="Times New Roman" w:cs="Times New Roman"/>
          <w:b/>
          <w:sz w:val="24"/>
        </w:rPr>
        <w:t>CHAPTER ONE</w:t>
      </w:r>
    </w:p>
    <w:p w14:paraId="5993A71C" w14:textId="77777777" w:rsidR="007D5C01" w:rsidRPr="007D5C01" w:rsidRDefault="007D5C01" w:rsidP="007D5C01">
      <w:pPr>
        <w:spacing w:line="360" w:lineRule="auto"/>
        <w:jc w:val="center"/>
        <w:rPr>
          <w:rFonts w:ascii="Times New Roman" w:hAnsi="Times New Roman" w:cs="Times New Roman"/>
          <w:b/>
          <w:sz w:val="24"/>
        </w:rPr>
      </w:pPr>
      <w:r w:rsidRPr="007D5C01">
        <w:rPr>
          <w:rFonts w:ascii="Times New Roman" w:hAnsi="Times New Roman" w:cs="Times New Roman"/>
          <w:b/>
          <w:sz w:val="24"/>
        </w:rPr>
        <w:t>INTRODUCTION</w:t>
      </w:r>
    </w:p>
    <w:p w14:paraId="107EB1EB" w14:textId="77777777" w:rsidR="00BF2F8C" w:rsidRPr="00BF2F8C" w:rsidRDefault="007D5C01" w:rsidP="00BF2F8C">
      <w:pPr>
        <w:pStyle w:val="ListParagraph"/>
        <w:numPr>
          <w:ilvl w:val="1"/>
          <w:numId w:val="1"/>
        </w:numPr>
        <w:spacing w:line="360" w:lineRule="auto"/>
        <w:jc w:val="both"/>
        <w:rPr>
          <w:rFonts w:ascii="Times New Roman" w:hAnsi="Times New Roman" w:cs="Times New Roman"/>
          <w:b/>
          <w:sz w:val="24"/>
        </w:rPr>
      </w:pPr>
      <w:r w:rsidRPr="00BF2F8C">
        <w:rPr>
          <w:rFonts w:ascii="Times New Roman" w:hAnsi="Times New Roman" w:cs="Times New Roman"/>
          <w:b/>
          <w:sz w:val="24"/>
        </w:rPr>
        <w:t>Background of the Study</w:t>
      </w:r>
    </w:p>
    <w:p w14:paraId="677C488E" w14:textId="77777777" w:rsidR="00BF2F8C" w:rsidRDefault="00BF2F8C" w:rsidP="007D5C01">
      <w:pPr>
        <w:spacing w:line="360" w:lineRule="auto"/>
        <w:jc w:val="both"/>
        <w:rPr>
          <w:rFonts w:ascii="Times New Roman" w:hAnsi="Times New Roman" w:cs="Times New Roman"/>
          <w:sz w:val="24"/>
        </w:rPr>
      </w:pPr>
      <w:r w:rsidRPr="00BF2F8C">
        <w:rPr>
          <w:rFonts w:ascii="Times New Roman" w:hAnsi="Times New Roman" w:cs="Times New Roman"/>
          <w:sz w:val="24"/>
        </w:rPr>
        <w:t>We know enough about indoor fungal contamination to be concerned, but not enough about West African educational buildings to act. That gap is precisely what this study addresses</w:t>
      </w:r>
      <w:r>
        <w:rPr>
          <w:rFonts w:ascii="Times New Roman" w:hAnsi="Times New Roman" w:cs="Times New Roman"/>
          <w:sz w:val="24"/>
        </w:rPr>
        <w:t>.</w:t>
      </w:r>
    </w:p>
    <w:p w14:paraId="25F854AB" w14:textId="77777777" w:rsidR="007D5C01" w:rsidRPr="007D5C01" w:rsidRDefault="00BF2F8C" w:rsidP="007D5C01">
      <w:pPr>
        <w:spacing w:line="360" w:lineRule="auto"/>
        <w:jc w:val="both"/>
        <w:rPr>
          <w:rFonts w:ascii="Times New Roman" w:hAnsi="Times New Roman" w:cs="Times New Roman"/>
          <w:sz w:val="24"/>
        </w:rPr>
      </w:pPr>
      <w:r>
        <w:rPr>
          <w:rFonts w:ascii="Times New Roman" w:hAnsi="Times New Roman" w:cs="Times New Roman"/>
          <w:sz w:val="24"/>
        </w:rPr>
        <w:t>I</w:t>
      </w:r>
      <w:r w:rsidR="007D5C01" w:rsidRPr="007D5C01">
        <w:rPr>
          <w:rFonts w:ascii="Times New Roman" w:hAnsi="Times New Roman" w:cs="Times New Roman"/>
          <w:sz w:val="24"/>
        </w:rPr>
        <w:t>ndoor air is a complex mixture of particles, microbes, volatile organic compounds, and other agents that can affect human health in ways we are still working to fully understand. Among the biological components of indoor air, fungi occupy a particularly important place because of their ubiquity, their resilience, and the range of health problems they are known to cause or worsen (Burge, 1990). Fungal spores are present nearly everywhere in the outdoor environment, and they find their way into buildings through open doors and windows, ventilation systems, and on the clothing and bodies of occupants. Once inside, they settle on surfaces, colonise damp or poorly maintained areas, and in many cases reproduce, releasing still more spores into the enclosed air.</w:t>
      </w:r>
    </w:p>
    <w:p w14:paraId="42D4D8DF"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 World Health Organization has recognised dampness and mould as a risk to health since at least 2009, when it published guidelines linking indoor fungal growth to respiratory symptoms, allergic reactions, and in some cases more serious infections, especially among</w:t>
      </w:r>
      <w:r w:rsidR="00014C3F">
        <w:rPr>
          <w:rFonts w:ascii="Times New Roman" w:hAnsi="Times New Roman" w:cs="Times New Roman"/>
          <w:sz w:val="24"/>
        </w:rPr>
        <w:t xml:space="preserve"> </w:t>
      </w:r>
      <w:r w:rsidR="00014C3F" w:rsidRPr="007D5C01">
        <w:rPr>
          <w:rFonts w:ascii="Times New Roman" w:hAnsi="Times New Roman" w:cs="Times New Roman"/>
          <w:sz w:val="24"/>
        </w:rPr>
        <w:t>individuals</w:t>
      </w:r>
      <w:r w:rsidRPr="007D5C01">
        <w:rPr>
          <w:rFonts w:ascii="Times New Roman" w:hAnsi="Times New Roman" w:cs="Times New Roman"/>
          <w:sz w:val="24"/>
        </w:rPr>
        <w:t xml:space="preserve"> </w:t>
      </w:r>
      <w:r w:rsidR="00014C3F">
        <w:rPr>
          <w:rFonts w:ascii="Times New Roman" w:hAnsi="Times New Roman" w:cs="Times New Roman"/>
          <w:sz w:val="24"/>
        </w:rPr>
        <w:t>having</w:t>
      </w:r>
      <w:r w:rsidR="00014C3F" w:rsidRPr="00014C3F">
        <w:rPr>
          <w:rFonts w:ascii="Times New Roman" w:hAnsi="Times New Roman" w:cs="Times New Roman"/>
          <w:sz w:val="24"/>
        </w:rPr>
        <w:t xml:space="preserve"> weakened immune system</w:t>
      </w:r>
      <w:r w:rsidRPr="007D5C01">
        <w:rPr>
          <w:rFonts w:ascii="Times New Roman" w:hAnsi="Times New Roman" w:cs="Times New Roman"/>
          <w:sz w:val="24"/>
        </w:rPr>
        <w:t xml:space="preserve"> (WHO, 2009). Khan and Karuppayil (2012), in a widely cited review, described indoor environments as potential reservoirs of fungal pollution and noted that s</w:t>
      </w:r>
      <w:r w:rsidR="008159E9">
        <w:rPr>
          <w:rFonts w:ascii="Times New Roman" w:hAnsi="Times New Roman" w:cs="Times New Roman"/>
          <w:sz w:val="24"/>
        </w:rPr>
        <w:t xml:space="preserve">pecies commonly found indoors </w:t>
      </w:r>
      <w:r w:rsidRPr="007D5C01">
        <w:rPr>
          <w:rFonts w:ascii="Times New Roman" w:hAnsi="Times New Roman" w:cs="Times New Roman"/>
          <w:sz w:val="24"/>
        </w:rPr>
        <w:t>including members of the genera Aspergillus, Penicillium,</w:t>
      </w:r>
      <w:r w:rsidR="008159E9">
        <w:rPr>
          <w:rFonts w:ascii="Times New Roman" w:hAnsi="Times New Roman" w:cs="Times New Roman"/>
          <w:sz w:val="24"/>
        </w:rPr>
        <w:t xml:space="preserve"> Cladosporium, and Alternaria </w:t>
      </w:r>
      <w:r w:rsidRPr="007D5C01">
        <w:rPr>
          <w:rFonts w:ascii="Times New Roman" w:hAnsi="Times New Roman" w:cs="Times New Roman"/>
          <w:sz w:val="24"/>
        </w:rPr>
        <w:t xml:space="preserve">have well-documented associations with allergic rhinitis, asthma exacerbation, and hypersensitivity pneumonitis. Nevalainen, Täubel, and Hyvärinen (2015) extended this view, arguing that fungi and their secondary metabolites (mycotoxins and volatile organic compounds) are companions and </w:t>
      </w:r>
      <w:r w:rsidR="008159E9">
        <w:rPr>
          <w:rFonts w:ascii="Times New Roman" w:hAnsi="Times New Roman" w:cs="Times New Roman"/>
          <w:sz w:val="24"/>
        </w:rPr>
        <w:t xml:space="preserve">contaminants of indoor spaces </w:t>
      </w:r>
      <w:r w:rsidRPr="007D5C01">
        <w:rPr>
          <w:rFonts w:ascii="Times New Roman" w:hAnsi="Times New Roman" w:cs="Times New Roman"/>
          <w:sz w:val="24"/>
        </w:rPr>
        <w:t>present whether we notice them or not, and capable of influencing health even at relatively low concentrations.</w:t>
      </w:r>
    </w:p>
    <w:p w14:paraId="7A90B80D" w14:textId="77777777" w:rsidR="007D5C01" w:rsidRPr="007D5C01" w:rsidRDefault="00014C3F" w:rsidP="007D5C01">
      <w:pPr>
        <w:spacing w:line="360" w:lineRule="auto"/>
        <w:jc w:val="both"/>
        <w:rPr>
          <w:rFonts w:ascii="Times New Roman" w:hAnsi="Times New Roman" w:cs="Times New Roman"/>
          <w:sz w:val="24"/>
        </w:rPr>
      </w:pPr>
      <w:r w:rsidRPr="00014C3F">
        <w:rPr>
          <w:rFonts w:ascii="Times New Roman" w:hAnsi="Times New Roman" w:cs="Times New Roman"/>
          <w:sz w:val="24"/>
        </w:rPr>
        <w:t>Our educational buildings across Nigeria deserve special attention in this conversation. Students and staff spend hours each day in lecture halls, laboratories, libraries, and reception areas, often in older infrastructure that was not originally designed with op</w:t>
      </w:r>
      <w:r>
        <w:rPr>
          <w:rFonts w:ascii="Times New Roman" w:hAnsi="Times New Roman" w:cs="Times New Roman"/>
          <w:sz w:val="24"/>
        </w:rPr>
        <w:t>timal indoor air quality</w:t>
      </w:r>
      <w:r w:rsidRPr="00014C3F">
        <w:rPr>
          <w:rFonts w:ascii="Times New Roman" w:hAnsi="Times New Roman" w:cs="Times New Roman"/>
          <w:sz w:val="24"/>
        </w:rPr>
        <w:t xml:space="preserve">. From the </w:t>
      </w:r>
      <w:r w:rsidRPr="00014C3F">
        <w:rPr>
          <w:rFonts w:ascii="Times New Roman" w:hAnsi="Times New Roman" w:cs="Times New Roman"/>
          <w:sz w:val="24"/>
        </w:rPr>
        <w:lastRenderedPageBreak/>
        <w:t xml:space="preserve">humid, tropical environments of southern states, through the central hub of the Federal Capital </w:t>
      </w:r>
      <w:r>
        <w:rPr>
          <w:rFonts w:ascii="Times New Roman" w:hAnsi="Times New Roman" w:cs="Times New Roman"/>
          <w:sz w:val="24"/>
        </w:rPr>
        <w:t xml:space="preserve">Territory </w:t>
      </w:r>
      <w:r w:rsidRPr="00014C3F">
        <w:rPr>
          <w:rFonts w:ascii="Times New Roman" w:hAnsi="Times New Roman" w:cs="Times New Roman"/>
          <w:sz w:val="24"/>
        </w:rPr>
        <w:t>Abuja, up to northern states like Sokoto, the compounding effects of our regional climates make the threat of indoor fungal growth especially concerning.</w:t>
      </w:r>
      <w:r w:rsidR="003D726D">
        <w:rPr>
          <w:rFonts w:ascii="Times New Roman" w:hAnsi="Times New Roman" w:cs="Times New Roman"/>
          <w:sz w:val="24"/>
        </w:rPr>
        <w:t xml:space="preserve"> </w:t>
      </w:r>
      <w:r w:rsidR="007D5C01" w:rsidRPr="007D5C01">
        <w:rPr>
          <w:rFonts w:ascii="Times New Roman" w:hAnsi="Times New Roman" w:cs="Times New Roman"/>
          <w:sz w:val="24"/>
        </w:rPr>
        <w:t>Warm temperatures, high relative humidity, and seasonal rainfall create conditions that favour fungal growth on building materials and in the air (Al Hallak et al., 2023). Kallawicha et al. (2017) demonstrated this clearly in their study of ambient fungal spore concentrations in Taipei, a subtropical city, where they found that temperature and relative humidity were the strongest meteorological predictors of airborne fungal load. Similarly, Chin et al. (2020) reported significant associations between indoor fungal exposure and asthma among junior high school students in Johor Bahru, Malaysia — another tropical setting — underscoring the health stakes for young people in these environments.</w:t>
      </w:r>
    </w:p>
    <w:p w14:paraId="1CF1D125"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In Nigeria specifically, research on indoor aeromycology has grown but remains limited. Odebode et al. (2020) surveyed airborne fungi across five locations in Lagos State between 2014 and 2016 and found that Aspergillus and Penicillium species dominated the indoor air profiles, a finding consistent with studies from other humid tropical cities. Madukasi et al. (2021) assessed microbiological air quality in lecture halls, laboratories, and offices at a tertiary institution in south-eastern Nigeria and reported fungal counts that exceeded recommended thresholds in several locations. Eze et al. (2021) likewise documented elevated fungal aerosol loads in crowded indoor spaces in Port Harcourt, including schools and markets. These studies, taken together, suggest that fungal contamination of indoor air is a real and measurable problem in Nigerian educational settings.</w:t>
      </w:r>
    </w:p>
    <w:p w14:paraId="03F14D0A" w14:textId="77777777" w:rsid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This is the context in which the present study sits. Nile University of Nigeria, located in the nation's capital territory of Abuja, operates several academic buildings that serve hundreds of students and staff each day. Among these are the Niger</w:t>
      </w:r>
      <w:r w:rsidR="008159E9">
        <w:rPr>
          <w:rFonts w:ascii="Times New Roman" w:hAnsi="Times New Roman" w:cs="Times New Roman"/>
          <w:sz w:val="24"/>
        </w:rPr>
        <w:t>, Volta, and Limpopo buildings</w:t>
      </w:r>
      <w:r w:rsidRPr="007D5C01">
        <w:rPr>
          <w:rFonts w:ascii="Times New Roman" w:hAnsi="Times New Roman" w:cs="Times New Roman"/>
          <w:sz w:val="24"/>
        </w:rPr>
        <w:t xml:space="preserve"> three named halls that house reception areas, lecture rooms, and administrative offices. </w:t>
      </w:r>
      <w:r w:rsidR="003D726D" w:rsidRPr="003D726D">
        <w:rPr>
          <w:rFonts w:ascii="Times New Roman" w:hAnsi="Times New Roman" w:cs="Times New Roman"/>
          <w:sz w:val="24"/>
        </w:rPr>
        <w:t>Like many institutions in the region, the university has expanded rapidly, but the indoor air quality and microbial ecology of these buildings have not yet been systematically investigated through formal research.</w:t>
      </w:r>
      <w:r w:rsidRPr="007D5C01">
        <w:rPr>
          <w:rFonts w:ascii="Times New Roman" w:hAnsi="Times New Roman" w:cs="Times New Roman"/>
          <w:sz w:val="24"/>
        </w:rPr>
        <w:t>. This chapter sets out the rationale for investigating the fungal microflora in the reception are</w:t>
      </w:r>
      <w:r w:rsidR="003D726D">
        <w:rPr>
          <w:rFonts w:ascii="Times New Roman" w:hAnsi="Times New Roman" w:cs="Times New Roman"/>
          <w:sz w:val="24"/>
        </w:rPr>
        <w:t xml:space="preserve">as of these three buildings </w:t>
      </w:r>
      <w:r w:rsidRPr="007D5C01">
        <w:rPr>
          <w:rFonts w:ascii="Times New Roman" w:hAnsi="Times New Roman" w:cs="Times New Roman"/>
          <w:sz w:val="24"/>
        </w:rPr>
        <w:t>and the contribution it aims to make to the broader literature on indoor air quality in tropical educational institutions.</w:t>
      </w:r>
    </w:p>
    <w:p w14:paraId="5B252EE1" w14:textId="77777777" w:rsidR="007D5C01" w:rsidRPr="007D5C01" w:rsidRDefault="007D5C01" w:rsidP="007D5C01">
      <w:pPr>
        <w:spacing w:line="360" w:lineRule="auto"/>
        <w:jc w:val="both"/>
        <w:rPr>
          <w:rFonts w:ascii="Times New Roman" w:hAnsi="Times New Roman" w:cs="Times New Roman"/>
          <w:sz w:val="24"/>
        </w:rPr>
      </w:pPr>
    </w:p>
    <w:p w14:paraId="3C845B0F"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lastRenderedPageBreak/>
        <w:t>1.2 Statement of the Problem</w:t>
      </w:r>
    </w:p>
    <w:p w14:paraId="3CA628D0"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Despite the growing body of international literature on indoor fungal contamination, there is a persistent gap when it comes to data from sub-Saharan African educational institutions. Much of what we know comes from studies conducted in Europe, North America, and East Asia (Wu et al., 2020; Fan et al., 2021), where climate conditions, building materials, and maintenance practices differ substantially from those found in West Africa. This matters because the factors t</w:t>
      </w:r>
      <w:r w:rsidR="00D674F2">
        <w:rPr>
          <w:rFonts w:ascii="Times New Roman" w:hAnsi="Times New Roman" w:cs="Times New Roman"/>
          <w:sz w:val="24"/>
        </w:rPr>
        <w:t>hat drive indoor fungal growth</w:t>
      </w:r>
      <w:r w:rsidRPr="007D5C01">
        <w:rPr>
          <w:rFonts w:ascii="Times New Roman" w:hAnsi="Times New Roman" w:cs="Times New Roman"/>
          <w:sz w:val="24"/>
        </w:rPr>
        <w:t xml:space="preserve"> humidity, temperature, ventilation rates,</w:t>
      </w:r>
      <w:r w:rsidR="00D674F2">
        <w:rPr>
          <w:rFonts w:ascii="Times New Roman" w:hAnsi="Times New Roman" w:cs="Times New Roman"/>
          <w:sz w:val="24"/>
        </w:rPr>
        <w:t xml:space="preserve"> occupancy density</w:t>
      </w:r>
      <w:r w:rsidRPr="007D5C01">
        <w:rPr>
          <w:rFonts w:ascii="Times New Roman" w:hAnsi="Times New Roman" w:cs="Times New Roman"/>
          <w:sz w:val="24"/>
        </w:rPr>
        <w:t xml:space="preserve"> are not uniform across geographies. A building in Beijing, for example, faces a very different set of indoor environmental pressures than a building in Abuja, and findings from one context cannot simply be transplanted to the other (Lu et al., 2022).</w:t>
      </w:r>
    </w:p>
    <w:p w14:paraId="4D788FA6"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Within Nigeria, the few studies that do exist tend to focus on hospitals, residential homes, or outdoor ambient air (Odebode et al., 2020; Eze et al., 2021). Reception areas in university buildings have received comparatively little attention, even though these spaces are often high-traffic zones where students, s</w:t>
      </w:r>
      <w:r w:rsidR="008159E9">
        <w:rPr>
          <w:rFonts w:ascii="Times New Roman" w:hAnsi="Times New Roman" w:cs="Times New Roman"/>
          <w:sz w:val="24"/>
        </w:rPr>
        <w:t xml:space="preserve">taff, and visitors congregate </w:t>
      </w:r>
      <w:r w:rsidRPr="007D5C01">
        <w:rPr>
          <w:rFonts w:ascii="Times New Roman" w:hAnsi="Times New Roman" w:cs="Times New Roman"/>
          <w:sz w:val="24"/>
        </w:rPr>
        <w:t>s</w:t>
      </w:r>
      <w:r w:rsidR="008159E9">
        <w:rPr>
          <w:rFonts w:ascii="Times New Roman" w:hAnsi="Times New Roman" w:cs="Times New Roman"/>
          <w:sz w:val="24"/>
        </w:rPr>
        <w:t xml:space="preserve">ometimes for extended periods </w:t>
      </w:r>
      <w:r w:rsidRPr="007D5C01">
        <w:rPr>
          <w:rFonts w:ascii="Times New Roman" w:hAnsi="Times New Roman" w:cs="Times New Roman"/>
          <w:sz w:val="24"/>
        </w:rPr>
        <w:t>while waiting for appointments, collecting documents, or attending to administrative matters. The design of many Nig</w:t>
      </w:r>
      <w:r w:rsidR="008159E9">
        <w:rPr>
          <w:rFonts w:ascii="Times New Roman" w:hAnsi="Times New Roman" w:cs="Times New Roman"/>
          <w:sz w:val="24"/>
        </w:rPr>
        <w:t>erian university buildings,</w:t>
      </w:r>
      <w:r w:rsidR="003D726D">
        <w:rPr>
          <w:rFonts w:ascii="Times New Roman" w:hAnsi="Times New Roman" w:cs="Times New Roman"/>
          <w:sz w:val="24"/>
        </w:rPr>
        <w:t xml:space="preserve"> </w:t>
      </w:r>
      <w:r w:rsidRPr="007D5C01">
        <w:rPr>
          <w:rFonts w:ascii="Times New Roman" w:hAnsi="Times New Roman" w:cs="Times New Roman"/>
          <w:sz w:val="24"/>
        </w:rPr>
        <w:t>with open corridors, limited mechanical ventilation, and variable maintenance standards, means that reception areas can behave quite differently from classrooms or laboratories in terms of air exchange and fungal spore dynamics. We simply do not have good baseline data for these spaces.</w:t>
      </w:r>
    </w:p>
    <w:p w14:paraId="252BB636"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There is also the matter of health risk perception. Students and staff at institutions like Nile University may be routinely exposed to airborne fungal spores without any awareness of the fact, and without any institutional monitoring in place to track exposure levels over time. Mousavi et al. (2016) highlighted the particular concern posed by Aspergillus species in indoor environments, noting their capacity to cause invasive aspergillosis in vulnerable individuals. While healthy adults may tolerate moderate spore exposures without obvious symptoms, the same cannot be said for individuals with asthma, chronic respiratory conditio</w:t>
      </w:r>
      <w:r w:rsidR="004A4867">
        <w:rPr>
          <w:rFonts w:ascii="Times New Roman" w:hAnsi="Times New Roman" w:cs="Times New Roman"/>
          <w:sz w:val="24"/>
        </w:rPr>
        <w:t>ns, or weakened immune systems</w:t>
      </w:r>
      <w:r w:rsidRPr="007D5C01">
        <w:rPr>
          <w:rFonts w:ascii="Times New Roman" w:hAnsi="Times New Roman" w:cs="Times New Roman"/>
          <w:sz w:val="24"/>
        </w:rPr>
        <w:t xml:space="preserve"> populations that are present on any university campus. Without data, there is no basis for risk assessment, and without risk assessment, there is no impetus for improvement.</w:t>
      </w:r>
    </w:p>
    <w:p w14:paraId="18FA0678"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This study therefore addresses a straightforward but important problem: we do not currently know what fungal species are present</w:t>
      </w:r>
      <w:r w:rsidR="004A4867">
        <w:rPr>
          <w:rFonts w:ascii="Times New Roman" w:hAnsi="Times New Roman" w:cs="Times New Roman"/>
          <w:sz w:val="24"/>
        </w:rPr>
        <w:t xml:space="preserve"> or not</w:t>
      </w:r>
      <w:r w:rsidRPr="007D5C01">
        <w:rPr>
          <w:rFonts w:ascii="Times New Roman" w:hAnsi="Times New Roman" w:cs="Times New Roman"/>
          <w:sz w:val="24"/>
        </w:rPr>
        <w:t xml:space="preserve"> in the indoor air of the reception areas in the Niger, </w:t>
      </w:r>
      <w:r w:rsidRPr="007D5C01">
        <w:rPr>
          <w:rFonts w:ascii="Times New Roman" w:hAnsi="Times New Roman" w:cs="Times New Roman"/>
          <w:sz w:val="24"/>
        </w:rPr>
        <w:lastRenderedPageBreak/>
        <w:t>Volta, and Limpopo buildings at Nile University of Nigeria, nor do we know at what concentrations they occur. That gap in knowledge makes it difficult for the university's administration, and for the broader academic community, to make evidence-based decisions about indoor environmental management.</w:t>
      </w:r>
    </w:p>
    <w:p w14:paraId="4AD6DCB2"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t>1.3 Justification of the Study</w:t>
      </w:r>
    </w:p>
    <w:p w14:paraId="2FDD6DDC"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A handful of Nigerian studies have touched on indoor air q</w:t>
      </w:r>
      <w:r w:rsidR="008159E9">
        <w:rPr>
          <w:rFonts w:ascii="Times New Roman" w:hAnsi="Times New Roman" w:cs="Times New Roman"/>
          <w:sz w:val="24"/>
        </w:rPr>
        <w:t>uality in educational settings</w:t>
      </w:r>
      <w:r w:rsidRPr="007D5C01">
        <w:rPr>
          <w:rFonts w:ascii="Times New Roman" w:hAnsi="Times New Roman" w:cs="Times New Roman"/>
          <w:sz w:val="24"/>
        </w:rPr>
        <w:t xml:space="preserve"> Madukasi et al. (2021) in the south-east, Eze et al. (2021</w:t>
      </w:r>
      <w:r w:rsidR="008159E9">
        <w:rPr>
          <w:rFonts w:ascii="Times New Roman" w:hAnsi="Times New Roman" w:cs="Times New Roman"/>
          <w:sz w:val="24"/>
        </w:rPr>
        <w:t>) in Port Harcourt, and others</w:t>
      </w:r>
      <w:r w:rsidRPr="007D5C01">
        <w:rPr>
          <w:rFonts w:ascii="Times New Roman" w:hAnsi="Times New Roman" w:cs="Times New Roman"/>
          <w:sz w:val="24"/>
        </w:rPr>
        <w:t xml:space="preserve"> but these were conducted at different institutions, in different climatic zones, and often with different sampling methodologies. Abuja sits in Nigeria's middle belt, characterised by a mix of Sudan savanna vegetation, distinct wet and dry seasons, and an altitude of around 840 metres above sea level. These geographic and climatic features distinguish it from the more southern and coastal cities where most Nigerian aeromycology research has taken place. A study conducted here would add a genuinely new data point to the national literature.</w:t>
      </w:r>
    </w:p>
    <w:p w14:paraId="5CCC588D"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 xml:space="preserve">The choice of reception areas as the sampling focus is deliberate. While classrooms and laboratories are important, they tend to be occupied in structured, </w:t>
      </w:r>
      <w:r w:rsidR="008159E9">
        <w:rPr>
          <w:rFonts w:ascii="Times New Roman" w:hAnsi="Times New Roman" w:cs="Times New Roman"/>
          <w:sz w:val="24"/>
        </w:rPr>
        <w:t xml:space="preserve">predictable ways </w:t>
      </w:r>
      <w:r w:rsidRPr="007D5C01">
        <w:rPr>
          <w:rFonts w:ascii="Times New Roman" w:hAnsi="Times New Roman" w:cs="Times New Roman"/>
          <w:sz w:val="24"/>
        </w:rPr>
        <w:t>a lecture lasts two hours, a lab session three. Reception areas, by contrast, have irregular, sometimes continuous foot traffic throughout the working day. Doors are opened and closed frequently. People arrive from outside carrying spores on their clothing. The air exchange patterns in these spac</w:t>
      </w:r>
      <w:r w:rsidR="004A4867">
        <w:rPr>
          <w:rFonts w:ascii="Times New Roman" w:hAnsi="Times New Roman" w:cs="Times New Roman"/>
          <w:sz w:val="24"/>
        </w:rPr>
        <w:t>es are less well understood,</w:t>
      </w:r>
      <w:r w:rsidRPr="007D5C01">
        <w:rPr>
          <w:rFonts w:ascii="Times New Roman" w:hAnsi="Times New Roman" w:cs="Times New Roman"/>
          <w:sz w:val="24"/>
        </w:rPr>
        <w:t xml:space="preserve"> yet they may represent points of higher or more variable exposure than more controlled indoor environments. St</w:t>
      </w:r>
      <w:r w:rsidR="004A4867">
        <w:rPr>
          <w:rFonts w:ascii="Times New Roman" w:hAnsi="Times New Roman" w:cs="Times New Roman"/>
          <w:sz w:val="24"/>
        </w:rPr>
        <w:t>udying reception areas</w:t>
      </w:r>
      <w:r w:rsidRPr="007D5C01">
        <w:rPr>
          <w:rFonts w:ascii="Times New Roman" w:hAnsi="Times New Roman" w:cs="Times New Roman"/>
          <w:sz w:val="24"/>
        </w:rPr>
        <w:t xml:space="preserve"> fills a niche that existing campus-based air quality surveys have largely overlooked.</w:t>
      </w:r>
    </w:p>
    <w:p w14:paraId="266E0BF1"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Methodologically, this study adopts the passive sedimentation (settle plate) technique for fungal sampling. This is a widely used, low-cost approach that has been employed in aeromycological surveys around the world for decades (Zhang et al., 2022). While it does not capture the total airborne fungal load as precisely as active air sampling, it provides a reliable indication of the culturable fungi that settle out o</w:t>
      </w:r>
      <w:r w:rsidR="008159E9">
        <w:rPr>
          <w:rFonts w:ascii="Times New Roman" w:hAnsi="Times New Roman" w:cs="Times New Roman"/>
          <w:sz w:val="24"/>
        </w:rPr>
        <w:t xml:space="preserve">f the air over a given period </w:t>
      </w:r>
      <w:r w:rsidRPr="007D5C01">
        <w:rPr>
          <w:rFonts w:ascii="Times New Roman" w:hAnsi="Times New Roman" w:cs="Times New Roman"/>
          <w:sz w:val="24"/>
        </w:rPr>
        <w:t xml:space="preserve">which is, arguably, the fraction most relevant to human exposure, since settled spores can later be re-aerosolised through occupant activity, cleaning, or draughts. Yuan et al. (2022) used a combination of active and passive sampling in their survey of indoor and outdoor airborne fungi at Tianjin University in China and </w:t>
      </w:r>
      <w:r w:rsidRPr="007D5C01">
        <w:rPr>
          <w:rFonts w:ascii="Times New Roman" w:hAnsi="Times New Roman" w:cs="Times New Roman"/>
          <w:sz w:val="24"/>
        </w:rPr>
        <w:lastRenderedPageBreak/>
        <w:t>found that the two approaches yielded broadly comparable species profiles, lending support to the continued use of settle plates in settings where active samplers are not available.</w:t>
      </w:r>
    </w:p>
    <w:p w14:paraId="66CCD38C"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 xml:space="preserve">Taken together, the geographic specificity (Abuja), the institutional context (Nile University), the focus on reception areas, and the use of morphological identification methods make this study a meaningful addition to the evidence base. It is not an exhaustive survey of all indoor spaces </w:t>
      </w:r>
      <w:r w:rsidR="004A4867">
        <w:rPr>
          <w:rFonts w:ascii="Times New Roman" w:hAnsi="Times New Roman" w:cs="Times New Roman"/>
          <w:sz w:val="24"/>
        </w:rPr>
        <w:t>but it is a focused</w:t>
      </w:r>
      <w:r w:rsidRPr="007D5C01">
        <w:rPr>
          <w:rFonts w:ascii="Times New Roman" w:hAnsi="Times New Roman" w:cs="Times New Roman"/>
          <w:sz w:val="24"/>
        </w:rPr>
        <w:t xml:space="preserve"> reproducible assessment that can serve as a starting point for more extensive monitoring in the future.</w:t>
      </w:r>
    </w:p>
    <w:p w14:paraId="5ADC8823"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t>1.4 Aim and Objectives of the Study</w:t>
      </w:r>
    </w:p>
    <w:p w14:paraId="595F7E3B"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Aim of the Study</w:t>
      </w:r>
    </w:p>
    <w:p w14:paraId="3F7A7D44"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 overarching aim of this study is to assess the fungal microflora present in the indoor air of the reception area</w:t>
      </w:r>
      <w:r w:rsidR="008159E9">
        <w:rPr>
          <w:rFonts w:ascii="Times New Roman" w:hAnsi="Times New Roman" w:cs="Times New Roman"/>
          <w:sz w:val="24"/>
        </w:rPr>
        <w:t xml:space="preserve">s in three academic buildings Niger, Volta, and Limpopo </w:t>
      </w:r>
      <w:r w:rsidRPr="007D5C01">
        <w:rPr>
          <w:rFonts w:ascii="Times New Roman" w:hAnsi="Times New Roman" w:cs="Times New Roman"/>
          <w:sz w:val="24"/>
        </w:rPr>
        <w:t>at Nile University of Nigeria, Abuja.</w:t>
      </w:r>
    </w:p>
    <w:p w14:paraId="59247FC1"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Specific Objectives</w:t>
      </w:r>
    </w:p>
    <w:p w14:paraId="6845F816"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 specific objectives are to:</w:t>
      </w:r>
    </w:p>
    <w:p w14:paraId="5F4B5030"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1.  Isolate and identify the fungal species present in the indoor air of the reception areas of the three buildings using cultural and morphological methods.</w:t>
      </w:r>
    </w:p>
    <w:p w14:paraId="6750265D"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2.  Determine the frequency of occurrence and relative abundance of each fungal species across the three sampling locations.</w:t>
      </w:r>
    </w:p>
    <w:p w14:paraId="08DCB154"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3.  Compare the fungal diversity profiles among the Niger, Volta, and Limpopo building reception areas.</w:t>
      </w:r>
    </w:p>
    <w:p w14:paraId="158B9A71" w14:textId="77777777" w:rsid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4.  Assess whether the observed fungal concentrations and species profiles fall within ranges considered acceptable by established indoor air quality guidelines.</w:t>
      </w:r>
    </w:p>
    <w:p w14:paraId="27B09A00" w14:textId="77777777" w:rsidR="008159E9" w:rsidRPr="007D5C01" w:rsidRDefault="008159E9" w:rsidP="007D5C01">
      <w:pPr>
        <w:spacing w:line="360" w:lineRule="auto"/>
        <w:jc w:val="both"/>
        <w:rPr>
          <w:rFonts w:ascii="Times New Roman" w:hAnsi="Times New Roman" w:cs="Times New Roman"/>
          <w:sz w:val="24"/>
        </w:rPr>
      </w:pPr>
    </w:p>
    <w:p w14:paraId="3D10A746"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t>1.5 Significance of the Study</w:t>
      </w:r>
    </w:p>
    <w:p w14:paraId="42EE07E3" w14:textId="77777777" w:rsidR="004A4867" w:rsidRDefault="004A4867" w:rsidP="007D5C01">
      <w:pPr>
        <w:spacing w:line="360" w:lineRule="auto"/>
        <w:jc w:val="both"/>
        <w:rPr>
          <w:rFonts w:ascii="Times New Roman" w:hAnsi="Times New Roman" w:cs="Times New Roman"/>
          <w:sz w:val="24"/>
        </w:rPr>
      </w:pPr>
      <w:r>
        <w:rPr>
          <w:rFonts w:ascii="Times New Roman" w:hAnsi="Times New Roman" w:cs="Times New Roman"/>
          <w:sz w:val="24"/>
        </w:rPr>
        <w:t>The</w:t>
      </w:r>
      <w:r w:rsidR="007D5C01" w:rsidRPr="007D5C01">
        <w:rPr>
          <w:rFonts w:ascii="Times New Roman" w:hAnsi="Times New Roman" w:cs="Times New Roman"/>
          <w:sz w:val="24"/>
        </w:rPr>
        <w:t xml:space="preserve"> study contributes to the literature in several practical ways. First, it provides baseline data on indoor fungal contamination at a Nigerian university where no such assessment has previously </w:t>
      </w:r>
      <w:r w:rsidR="007D5C01" w:rsidRPr="007D5C01">
        <w:rPr>
          <w:rFonts w:ascii="Times New Roman" w:hAnsi="Times New Roman" w:cs="Times New Roman"/>
          <w:sz w:val="24"/>
        </w:rPr>
        <w:lastRenderedPageBreak/>
        <w:t>been carried out. Baseline data i</w:t>
      </w:r>
      <w:r w:rsidR="008159E9">
        <w:rPr>
          <w:rFonts w:ascii="Times New Roman" w:hAnsi="Times New Roman" w:cs="Times New Roman"/>
          <w:sz w:val="24"/>
        </w:rPr>
        <w:t xml:space="preserve">s, by its nature, unglamorous </w:t>
      </w:r>
      <w:r w:rsidR="007D5C01" w:rsidRPr="007D5C01">
        <w:rPr>
          <w:rFonts w:ascii="Times New Roman" w:hAnsi="Times New Roman" w:cs="Times New Roman"/>
          <w:sz w:val="24"/>
        </w:rPr>
        <w:t>but it is essential. Without knowing what is currently present in the air, it is imposs</w:t>
      </w:r>
      <w:r w:rsidR="00D674F2">
        <w:rPr>
          <w:rFonts w:ascii="Times New Roman" w:hAnsi="Times New Roman" w:cs="Times New Roman"/>
          <w:sz w:val="24"/>
        </w:rPr>
        <w:t>ible to track changes over time in other to</w:t>
      </w:r>
      <w:r w:rsidR="007D5C01" w:rsidRPr="007D5C01">
        <w:rPr>
          <w:rFonts w:ascii="Times New Roman" w:hAnsi="Times New Roman" w:cs="Times New Roman"/>
          <w:sz w:val="24"/>
        </w:rPr>
        <w:t xml:space="preserve"> evaluate the effectivenes</w:t>
      </w:r>
      <w:r>
        <w:rPr>
          <w:rFonts w:ascii="Times New Roman" w:hAnsi="Times New Roman" w:cs="Times New Roman"/>
          <w:sz w:val="24"/>
        </w:rPr>
        <w:t>s of maintenance interventions.</w:t>
      </w:r>
    </w:p>
    <w:p w14:paraId="40B1790A"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Second, the findings may inform the university's facilities management decisions. If the study identifies elevated fungal loads or the presence of species with known pathogenic potential (for example, Aspergillus fumigatus or Aspergillus flavus), that information could prompt targ</w:t>
      </w:r>
      <w:r w:rsidR="00D674F2">
        <w:rPr>
          <w:rFonts w:ascii="Times New Roman" w:hAnsi="Times New Roman" w:cs="Times New Roman"/>
          <w:sz w:val="24"/>
        </w:rPr>
        <w:t>eted actions</w:t>
      </w:r>
      <w:r w:rsidRPr="007D5C01">
        <w:rPr>
          <w:rFonts w:ascii="Times New Roman" w:hAnsi="Times New Roman" w:cs="Times New Roman"/>
          <w:sz w:val="24"/>
        </w:rPr>
        <w:t xml:space="preserve"> improved ventilation, moisture control, periodic cleaning protocols, or building material upgrades. Anaissie et al. (2002) demonstrated, in a landmark three-year prospective study in a hospital setting, that pathogenic Aspergillus species can persist in indoor water systems and contribute to nosocomial infections. While a university is not a hospital, the principle is the same: knowing what is there is the first step toward managing it.</w:t>
      </w:r>
    </w:p>
    <w:p w14:paraId="737D4BD9"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Third, the study adds to the body of knowledge on indoor air quality in tropical educational buildings more broadly. As Wu et al. (2020) noted in their systematic review of indoor microbial exposures in China, there is a global need for more geographically diverse studies to move beyond the current over-reliance on data from temperate, high-income countries. Nigerian institutions have an important role to play in filling that gap.</w:t>
      </w:r>
    </w:p>
    <w:p w14:paraId="28D3AE28"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 xml:space="preserve">Finally, from a public health and sustainable development perspective, this study aligns with the </w:t>
      </w:r>
      <w:r w:rsidR="008159E9">
        <w:rPr>
          <w:rFonts w:ascii="Times New Roman" w:hAnsi="Times New Roman" w:cs="Times New Roman"/>
          <w:sz w:val="24"/>
        </w:rPr>
        <w:t xml:space="preserve">Sustainable Development Goals </w:t>
      </w:r>
      <w:r w:rsidRPr="007D5C01">
        <w:rPr>
          <w:rFonts w:ascii="Times New Roman" w:hAnsi="Times New Roman" w:cs="Times New Roman"/>
          <w:sz w:val="24"/>
        </w:rPr>
        <w:t xml:space="preserve">(Good Health and Well-being) and (Quality Education). Students and staff have a right to learn and work in environments that do not pose unnecessary health risks, and generating the data needed to ensure that is a worthwhile </w:t>
      </w:r>
      <w:r w:rsidR="008159E9" w:rsidRPr="007D5C01">
        <w:rPr>
          <w:rFonts w:ascii="Times New Roman" w:hAnsi="Times New Roman" w:cs="Times New Roman"/>
          <w:sz w:val="24"/>
        </w:rPr>
        <w:t>endeavor</w:t>
      </w:r>
      <w:r w:rsidRPr="007D5C01">
        <w:rPr>
          <w:rFonts w:ascii="Times New Roman" w:hAnsi="Times New Roman" w:cs="Times New Roman"/>
          <w:sz w:val="24"/>
        </w:rPr>
        <w:t xml:space="preserve"> in itself.</w:t>
      </w:r>
    </w:p>
    <w:p w14:paraId="5BCD04C7"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t>1.6 Scope of the Study</w:t>
      </w:r>
    </w:p>
    <w:p w14:paraId="633D34BC"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 study is confined to the reception areas of three academic buildings on the main campus of Nile University of Nigeria in Abuja: the Niger, Volta, and Limpopo buildings. These three buildings were selected because the</w:t>
      </w:r>
      <w:r w:rsidR="004A4867">
        <w:rPr>
          <w:rFonts w:ascii="Times New Roman" w:hAnsi="Times New Roman" w:cs="Times New Roman"/>
          <w:sz w:val="24"/>
        </w:rPr>
        <w:t>y represent distinct and</w:t>
      </w:r>
      <w:r w:rsidRPr="007D5C01">
        <w:rPr>
          <w:rFonts w:ascii="Times New Roman" w:hAnsi="Times New Roman" w:cs="Times New Roman"/>
          <w:sz w:val="24"/>
        </w:rPr>
        <w:t xml:space="preserve"> frequently used points of entry within the university's academic zone, and because they are accessible for repeated sampling visits within the available timeframe.</w:t>
      </w:r>
    </w:p>
    <w:p w14:paraId="3E1D0676"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 xml:space="preserve">Sampling is limited to culturable airborne fungi captured using the passive sedimentation (settle plate) method. Fungal identification is carried out through macroscopic and microscopic morphological examination, supported by standard taxonomic keys. The study does not employ </w:t>
      </w:r>
      <w:r w:rsidRPr="007D5C01">
        <w:rPr>
          <w:rFonts w:ascii="Times New Roman" w:hAnsi="Times New Roman" w:cs="Times New Roman"/>
          <w:sz w:val="24"/>
        </w:rPr>
        <w:lastRenderedPageBreak/>
        <w:t>molecular identification techniques (such as PCR or DNA sequencing), nor does it attempt to quantify mycotoxin levels or assess other indoor air quality parameters (bacterial load, particulate matter, carbon dioxide concentration, or temperature and humidity readings). These are acknowledged limitations that could be addressed in future work.</w:t>
      </w:r>
    </w:p>
    <w:p w14:paraId="7A8DA180" w14:textId="77777777" w:rsid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The temporal scope of the study covers a single sampling period during the rainy season, when fungal spore loads in Abuja are expected to be at or near their peak. While a cross-sectional study of this kind cannot capture seasonal variation, it provides a useful sna</w:t>
      </w:r>
      <w:r w:rsidR="008159E9">
        <w:rPr>
          <w:rFonts w:ascii="Times New Roman" w:hAnsi="Times New Roman" w:cs="Times New Roman"/>
          <w:sz w:val="24"/>
        </w:rPr>
        <w:t xml:space="preserve">pshot of worst-case </w:t>
      </w:r>
      <w:r w:rsidR="00ED4362">
        <w:rPr>
          <w:rFonts w:ascii="Times New Roman" w:hAnsi="Times New Roman" w:cs="Times New Roman"/>
          <w:sz w:val="24"/>
        </w:rPr>
        <w:t xml:space="preserve">conditions </w:t>
      </w:r>
      <w:r w:rsidR="00ED4362" w:rsidRPr="007D5C01">
        <w:rPr>
          <w:rFonts w:ascii="Times New Roman" w:hAnsi="Times New Roman" w:cs="Times New Roman"/>
          <w:sz w:val="24"/>
        </w:rPr>
        <w:t>the</w:t>
      </w:r>
      <w:r w:rsidRPr="007D5C01">
        <w:rPr>
          <w:rFonts w:ascii="Times New Roman" w:hAnsi="Times New Roman" w:cs="Times New Roman"/>
          <w:sz w:val="24"/>
        </w:rPr>
        <w:t xml:space="preserve"> period during which indoor fungal contamination is most likely to be elevated. The study does not attempt to correlate fungal findings with health outcomes among building occupants, as that would require a different (and considerably more complex) study design involving clinical data and participant consent.</w:t>
      </w:r>
    </w:p>
    <w:p w14:paraId="26799407" w14:textId="77777777" w:rsidR="007D5C01" w:rsidRDefault="007D5C01" w:rsidP="007D5C01">
      <w:pPr>
        <w:spacing w:line="360" w:lineRule="auto"/>
        <w:jc w:val="both"/>
        <w:rPr>
          <w:rFonts w:ascii="Times New Roman" w:hAnsi="Times New Roman" w:cs="Times New Roman"/>
          <w:sz w:val="24"/>
        </w:rPr>
      </w:pPr>
    </w:p>
    <w:p w14:paraId="21309302" w14:textId="77777777" w:rsidR="007D5C01" w:rsidRDefault="007D5C01" w:rsidP="007D5C01">
      <w:pPr>
        <w:spacing w:line="360" w:lineRule="auto"/>
        <w:jc w:val="both"/>
        <w:rPr>
          <w:rFonts w:ascii="Times New Roman" w:hAnsi="Times New Roman" w:cs="Times New Roman"/>
          <w:sz w:val="24"/>
        </w:rPr>
      </w:pPr>
    </w:p>
    <w:p w14:paraId="5F846B9F" w14:textId="77777777" w:rsidR="007D5C01" w:rsidRDefault="007D5C01" w:rsidP="007D5C01">
      <w:pPr>
        <w:spacing w:line="360" w:lineRule="auto"/>
        <w:jc w:val="both"/>
        <w:rPr>
          <w:rFonts w:ascii="Times New Roman" w:hAnsi="Times New Roman" w:cs="Times New Roman"/>
          <w:sz w:val="24"/>
        </w:rPr>
      </w:pPr>
    </w:p>
    <w:p w14:paraId="76219FEE" w14:textId="77777777" w:rsidR="007D5C01" w:rsidRDefault="007D5C01" w:rsidP="007D5C01">
      <w:pPr>
        <w:spacing w:line="360" w:lineRule="auto"/>
        <w:jc w:val="both"/>
        <w:rPr>
          <w:rFonts w:ascii="Times New Roman" w:hAnsi="Times New Roman" w:cs="Times New Roman"/>
          <w:sz w:val="24"/>
        </w:rPr>
      </w:pPr>
    </w:p>
    <w:p w14:paraId="03016041" w14:textId="77777777" w:rsidR="007D5C01" w:rsidRDefault="007D5C01" w:rsidP="007D5C01">
      <w:pPr>
        <w:spacing w:line="360" w:lineRule="auto"/>
        <w:jc w:val="both"/>
        <w:rPr>
          <w:rFonts w:ascii="Times New Roman" w:hAnsi="Times New Roman" w:cs="Times New Roman"/>
          <w:sz w:val="24"/>
        </w:rPr>
      </w:pPr>
    </w:p>
    <w:p w14:paraId="66D65B94" w14:textId="77777777" w:rsidR="007D5C01" w:rsidRDefault="007D5C01" w:rsidP="007D5C01">
      <w:pPr>
        <w:spacing w:line="360" w:lineRule="auto"/>
        <w:jc w:val="both"/>
        <w:rPr>
          <w:rFonts w:ascii="Times New Roman" w:hAnsi="Times New Roman" w:cs="Times New Roman"/>
          <w:sz w:val="24"/>
        </w:rPr>
      </w:pPr>
    </w:p>
    <w:p w14:paraId="48841EED" w14:textId="77777777" w:rsidR="007D5C01" w:rsidRDefault="007D5C01" w:rsidP="007D5C01">
      <w:pPr>
        <w:spacing w:line="360" w:lineRule="auto"/>
        <w:jc w:val="both"/>
        <w:rPr>
          <w:rFonts w:ascii="Times New Roman" w:hAnsi="Times New Roman" w:cs="Times New Roman"/>
          <w:sz w:val="24"/>
        </w:rPr>
      </w:pPr>
    </w:p>
    <w:p w14:paraId="0FA332A2" w14:textId="77777777" w:rsidR="007D5C01" w:rsidRDefault="007D5C01" w:rsidP="007D5C01">
      <w:pPr>
        <w:spacing w:line="360" w:lineRule="auto"/>
        <w:jc w:val="both"/>
        <w:rPr>
          <w:rFonts w:ascii="Times New Roman" w:hAnsi="Times New Roman" w:cs="Times New Roman"/>
          <w:sz w:val="24"/>
        </w:rPr>
      </w:pPr>
    </w:p>
    <w:p w14:paraId="02DA1DBD" w14:textId="77777777" w:rsidR="007D5C01" w:rsidRDefault="007D5C01" w:rsidP="007D5C01">
      <w:pPr>
        <w:spacing w:line="360" w:lineRule="auto"/>
        <w:jc w:val="both"/>
        <w:rPr>
          <w:rFonts w:ascii="Times New Roman" w:hAnsi="Times New Roman" w:cs="Times New Roman"/>
          <w:sz w:val="24"/>
        </w:rPr>
      </w:pPr>
    </w:p>
    <w:p w14:paraId="04B38792" w14:textId="77777777" w:rsidR="007D5C01" w:rsidRDefault="007D5C01" w:rsidP="007D5C01">
      <w:pPr>
        <w:spacing w:line="360" w:lineRule="auto"/>
        <w:jc w:val="both"/>
        <w:rPr>
          <w:rFonts w:ascii="Times New Roman" w:hAnsi="Times New Roman" w:cs="Times New Roman"/>
          <w:sz w:val="24"/>
        </w:rPr>
      </w:pPr>
    </w:p>
    <w:p w14:paraId="7664B073" w14:textId="77777777" w:rsidR="007D5C01" w:rsidRPr="007D5C01" w:rsidRDefault="007D5C01" w:rsidP="007D5C01">
      <w:pPr>
        <w:spacing w:line="360" w:lineRule="auto"/>
        <w:jc w:val="both"/>
        <w:rPr>
          <w:rFonts w:ascii="Times New Roman" w:hAnsi="Times New Roman" w:cs="Times New Roman"/>
          <w:sz w:val="24"/>
        </w:rPr>
      </w:pPr>
    </w:p>
    <w:p w14:paraId="0FD21666" w14:textId="77777777" w:rsidR="007D5C01" w:rsidRPr="007D5C01" w:rsidRDefault="007D5C01" w:rsidP="007D5C01">
      <w:pPr>
        <w:spacing w:line="360" w:lineRule="auto"/>
        <w:jc w:val="both"/>
        <w:rPr>
          <w:rFonts w:ascii="Times New Roman" w:hAnsi="Times New Roman" w:cs="Times New Roman"/>
          <w:b/>
          <w:sz w:val="24"/>
        </w:rPr>
      </w:pPr>
      <w:r w:rsidRPr="007D5C01">
        <w:rPr>
          <w:rFonts w:ascii="Times New Roman" w:hAnsi="Times New Roman" w:cs="Times New Roman"/>
          <w:b/>
          <w:sz w:val="24"/>
        </w:rPr>
        <w:t>References</w:t>
      </w:r>
    </w:p>
    <w:p w14:paraId="09B2052D"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lastRenderedPageBreak/>
        <w:t>Al Hallak, M., Verdier, T., Bertron, A., Roques, C., &amp; Bailly, J.-D. (2023). Fungal contamination of building materials and the aerosolization of particles and toxins in indoor air and their associated risks to health: A review. Toxins, 15(3), 175.</w:t>
      </w:r>
    </w:p>
    <w:p w14:paraId="0D7D32B8"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Anaissie, E. J., Stratton, S. L., Dignani, M. C., Lee, C. K., Summerbell, R. C., Rex, J. H., Monson, T. P., &amp; Walsh, T. J. (2002). Pathogenic Aspergillus species recovered from a hospital water system: A 3-year prospective study. Clinical Infectious Diseases, 34(6), 780–789.</w:t>
      </w:r>
    </w:p>
    <w:p w14:paraId="170F6622"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Burge, H. A. (1990). Bioaerosols: Prevalence and health effects in the indoor environment. Journal of Allergy and Clinical Immunology, 86(5), 687–701.</w:t>
      </w:r>
    </w:p>
    <w:p w14:paraId="44CDDD0D"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Chin, J. Y. W., Zheng, M., Kuo, H.-W., Chang, C.-C., Lee, C.-T., Sahu, S. K., ... &amp; Wu, C.-F. (2020). Indoor microbiome, environmental characteristics and asthma among junior high school students in Johor Bahru, Malaysia. Environment International, 138, 105664.</w:t>
      </w:r>
    </w:p>
    <w:p w14:paraId="28A60621"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Eze, E. I., Igwe, V. N., Nwafor, O. I., &amp; Okpokwasili, G. C. (2021). Incidence of fungal aerosols from selected crowded places in Port Harcourt, Nigeria. Asian Journal of Atmospheric Environment, 15(3), 2021036.</w:t>
      </w:r>
    </w:p>
    <w:p w14:paraId="0445E1A1"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Fan, G., Zhang, R., Yang, X., Wang, P., Zhou, X., &amp; Zhang, X. (2021). Investigation of fungal contamination in urban houses with children in six major Chinese cities: Genus and concentration characteristics. Building and Environment, 205, 108229.</w:t>
      </w:r>
    </w:p>
    <w:p w14:paraId="07ED9577"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Kallawicha, K., Wu, P.-C., Lung, S.-C. C., Lin, Y.-C., Chou, C.-H., Wang, Y.-F., &amp; Su, H.-J. (2017). Ambient fungal spore concentration in a subtropical metropolis: Temporal distributions and meteorological determinants. Aerosol and Air Quality Research, 17, 2051–2063.</w:t>
      </w:r>
    </w:p>
    <w:p w14:paraId="408B9DA5"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Khan, A. A. H., &amp; Mohan Karuppayil, S. (2012). Fungal pollution of indoor environments and its management. Saudi Journal of Biological Sciences, 19(4), 405–426.</w:t>
      </w:r>
    </w:p>
    <w:p w14:paraId="472B8B3F"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Lu, Y., Wang, X., de Souza Almeida, L. C., &amp; Pecoraro, L. (2022). Environmental factors affecting diversity, structure, and temporal variation of airborne fungal communities in a research and teaching building of Tianjin University, China. Journal of Fungi, 8(5), 431.</w:t>
      </w:r>
    </w:p>
    <w:p w14:paraId="6C89D497"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Madukasi, I., Ezejiofor, A. N., Nwaoguikpe, R. N., &amp; Okolo, B. N. (2021). Microbiological indoor air quality within a tertiary institution in south-east, Nigeria. International Journal of Multi-disciplinary Academic Studies, 9(1), 1–14.</w:t>
      </w:r>
    </w:p>
    <w:p w14:paraId="7EAD837D"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Mousavi, B., Hedayati, M. T., Hedayati, N., Ilkit, M., &amp; Syedmousavi, S. (2016). Aspergillus species in indoor environments and their possible occupational and public health hazards. Current Medical Mycology, 2(1), 36–42.</w:t>
      </w:r>
    </w:p>
    <w:p w14:paraId="619A3C22"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Nevalainen, A., Täubel, M., &amp; Hyvärinen, A. (2015). Indoor fungi: Companions and contaminants. Indoor Air, 25(2), 125–156.</w:t>
      </w:r>
    </w:p>
    <w:p w14:paraId="7501C994"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Odebode, A. C., Adekunle, A. A., Stajich, J. E., &amp; Adeonipekun, P. A. (2020). Airborne fungal spores distribution in various locations in Lagos, Nigeria. Environmental Monitoring and Assessment, 192(2), 87.</w:t>
      </w:r>
    </w:p>
    <w:p w14:paraId="609F1BD0"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World Health Organization. (2009). WHO guidelines for indoor air quality: Dampness and mould. WHO Regional Office for Europe, Copenhagen.</w:t>
      </w:r>
    </w:p>
    <w:p w14:paraId="52FAEDBA"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Wu, Y., Zhang, R., Cai, J., Zhang, Y., Zhao, S., Fan, G., ... &amp; Wang, P. (2020). Indoor exposure levels of bacteria and fungi in residences, schools, and offices in China: A systematic review. Indoor Air, 30(6), 1147–1165.</w:t>
      </w:r>
    </w:p>
    <w:p w14:paraId="7F7ED960" w14:textId="77777777" w:rsidR="007D5C01" w:rsidRPr="007D5C01" w:rsidRDefault="007D5C01" w:rsidP="007D5C01">
      <w:pPr>
        <w:spacing w:line="360" w:lineRule="auto"/>
        <w:jc w:val="both"/>
        <w:rPr>
          <w:rFonts w:ascii="Times New Roman" w:hAnsi="Times New Roman" w:cs="Times New Roman"/>
          <w:sz w:val="24"/>
        </w:rPr>
      </w:pPr>
      <w:r w:rsidRPr="007D5C01">
        <w:rPr>
          <w:rFonts w:ascii="Times New Roman" w:hAnsi="Times New Roman" w:cs="Times New Roman"/>
          <w:sz w:val="24"/>
        </w:rPr>
        <w:t>Yuan, C., Wang, X., &amp; Pecoraro, L. (2022). Environmental factors shaping the diversity and spatial-temporal distribution of indoor and outdoor culturable airborne fungal communities in Tianjin University campus, Tianjin, China. Frontiers in Microbiology, 13, 928921.</w:t>
      </w:r>
    </w:p>
    <w:p w14:paraId="40662BCA" w14:textId="77777777" w:rsidR="004A7522" w:rsidRPr="007D5C01" w:rsidRDefault="007D5C01" w:rsidP="007D5C01">
      <w:pPr>
        <w:spacing w:line="360" w:lineRule="auto"/>
        <w:jc w:val="both"/>
      </w:pPr>
      <w:r w:rsidRPr="007D5C01">
        <w:rPr>
          <w:rFonts w:ascii="Times New Roman" w:hAnsi="Times New Roman" w:cs="Times New Roman"/>
          <w:sz w:val="24"/>
        </w:rPr>
        <w:t>Zhang, X., Zhang, R., Wu, Y., Zheng, M., &amp; Wang, P. (2022). Airborne fungal spore review, new advances and automatisation. Atmosphere, 13(2), 308.</w:t>
      </w:r>
    </w:p>
    <w:sectPr w:rsidR="004A7522" w:rsidRPr="007D5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A567B"/>
    <w:multiLevelType w:val="multilevel"/>
    <w:tmpl w:val="FDDEB3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7103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5789"/>
    <w:rsid w:val="00014C3F"/>
    <w:rsid w:val="000E0962"/>
    <w:rsid w:val="00133908"/>
    <w:rsid w:val="00367BD0"/>
    <w:rsid w:val="003869AF"/>
    <w:rsid w:val="003D726D"/>
    <w:rsid w:val="004A4867"/>
    <w:rsid w:val="004A7522"/>
    <w:rsid w:val="00545789"/>
    <w:rsid w:val="007D5C01"/>
    <w:rsid w:val="008159E9"/>
    <w:rsid w:val="00BF2F8C"/>
    <w:rsid w:val="00D437F4"/>
    <w:rsid w:val="00D674F2"/>
    <w:rsid w:val="00EA5264"/>
    <w:rsid w:val="00EC3CCF"/>
    <w:rsid w:val="00ED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A5E8"/>
  <w15:docId w15:val="{F379E094-D05F-A742-9837-F82EC790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7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8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F2F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521180">
      <w:bodyDiv w:val="1"/>
      <w:marLeft w:val="0"/>
      <w:marRight w:val="0"/>
      <w:marTop w:val="0"/>
      <w:marBottom w:val="0"/>
      <w:divBdr>
        <w:top w:val="none" w:sz="0" w:space="0" w:color="auto"/>
        <w:left w:val="none" w:sz="0" w:space="0" w:color="auto"/>
        <w:bottom w:val="none" w:sz="0" w:space="0" w:color="auto"/>
        <w:right w:val="none" w:sz="0" w:space="0" w:color="auto"/>
      </w:divBdr>
    </w:div>
    <w:div w:id="202397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340B9-04B3-436C-91DE-C3A8936FF3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xaharadeen52@gmail.com</cp:lastModifiedBy>
  <cp:revision>2</cp:revision>
  <dcterms:created xsi:type="dcterms:W3CDTF">2026-04-18T17:53:00Z</dcterms:created>
  <dcterms:modified xsi:type="dcterms:W3CDTF">2026-04-18T17:53:00Z</dcterms:modified>
</cp:coreProperties>
</file>