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59"/>
        <w:jc w:val="center"/>
      </w:pPr>
      <w:r>
        <w:rPr>
          <w:rFonts w:ascii="Times New Roman" w:eastAsia="Times New Roman"/>
          <w:b/>
          <w:bCs/>
          <w:color w:val="000000"/>
          <w:sz w:val="28"/>
          <w:szCs w:val="28"/>
        </w:rPr>
        <w:t xml:space="preserve">NILE UNIVERSITY OF NIGERIA</w:t>
      </w:r>
    </w:p>
    <w:p>
      <w:pPr>
        <w:spacing w:after="80" w:line="259"/>
        <w:jc w:val="center"/>
      </w:pPr>
      <w:r>
        <w:rPr>
          <w:rFonts w:ascii="Times New Roman" w:eastAsia="Times New Roman"/>
          <w:b/>
          <w:bCs/>
          <w:color w:val="000000"/>
          <w:sz w:val="26"/>
          <w:szCs w:val="26"/>
        </w:rPr>
        <w:t xml:space="preserve">FACULTY OF SCIENCES</w:t>
      </w:r>
    </w:p>
    <w:p>
      <w:pPr>
        <w:spacing w:after="240" w:line="259"/>
        <w:jc w:val="center"/>
      </w:pPr>
      <w:r>
        <w:rPr>
          <w:rFonts w:ascii="Times New Roman" w:eastAsia="Times New Roman"/>
          <w:b/>
          <w:bCs/>
          <w:color w:val="000000"/>
          <w:sz w:val="24"/>
          <w:szCs w:val="24"/>
        </w:rPr>
        <w:t xml:space="preserve">DEPARTMENT OF ELECTRICAL &amp; ELECTRONIC ENGINEERING</w:t>
      </w:r>
    </w:p>
    <w:p>
      <w:pPr>
        <w:spacing w:after="240" w:line="259"/>
        <w:jc w:val="center"/>
      </w:pPr>
      <w:r>
        <w:rPr>
          <w:rFonts w:ascii="Times New Roman" w:eastAsia="Times New Roman"/>
          <w:b/>
          <w:bCs/>
          <w:color w:val="000000"/>
          <w:sz w:val="26"/>
          <w:szCs w:val="26"/>
        </w:rPr>
        <w:t xml:space="preserve">UNDERGRADUATE PROJECT PROPOSAL</w:t>
      </w:r>
    </w:p>
    <w:p>
      <w:pPr>
        <w:spacing w:after="120" w:line="259"/>
        <w:jc w:val="center"/>
      </w:pPr>
      <w:r>
        <w:rPr>
          <w:rFonts w:ascii="Times New Roman" w:eastAsia="Times New Roman"/>
          <w:b/>
          <w:bCs/>
          <w:color w:val="000000"/>
          <w:sz w:val="22"/>
          <w:szCs w:val="22"/>
        </w:rPr>
        <w:t xml:space="preserve">PRESENTED BY:</w:t>
      </w:r>
    </w:p>
    <w:p>
      <w:pPr>
        <w:spacing w:after="60" w:line="259"/>
        <w:jc w:val="center"/>
      </w:pPr>
      <w:r>
        <w:rPr>
          <w:rFonts w:ascii="Times New Roman" w:eastAsia="Times New Roman"/>
          <w:color w:val="000000"/>
          <w:sz w:val="24"/>
          <w:szCs w:val="24"/>
        </w:rPr>
        <w:t xml:space="preserve">[STUDENT NAME]</w:t>
      </w:r>
    </w:p>
    <w:p>
      <w:pPr>
        <w:spacing w:after="60" w:line="259"/>
        <w:jc w:val="center"/>
      </w:pPr>
      <w:r>
        <w:rPr>
          <w:rFonts w:ascii="Times New Roman" w:eastAsia="Times New Roman"/>
          <w:color w:val="000000"/>
          <w:sz w:val="22"/>
          <w:szCs w:val="22"/>
        </w:rPr>
        <w:t xml:space="preserve">Matric Number: [MATRIC NUMBER]</w:t>
      </w:r>
    </w:p>
    <w:p>
      <w:pPr>
        <w:spacing w:after="240" w:line="259"/>
        <w:jc w:val="center"/>
      </w:pPr>
      <w:r>
        <w:rPr>
          <w:rFonts w:ascii="Times New Roman" w:eastAsia="Times New Roman"/>
          <w:color w:val="000000"/>
          <w:sz w:val="22"/>
          <w:szCs w:val="22"/>
        </w:rPr>
        <w:t xml:space="preserve">Session: 2025 / 2026</w:t>
      </w:r>
    </w:p>
    <w:p>
      <w:pPr>
        <w:spacing w:after="60" w:line="259"/>
        <w:jc w:val="center"/>
      </w:pPr>
      <w:r>
        <w:rPr>
          <w:rFonts w:ascii="Times New Roman" w:eastAsia="Times New Roman"/>
          <w:b/>
          <w:bCs/>
          <w:color w:val="000000"/>
          <w:sz w:val="22"/>
          <w:szCs w:val="22"/>
        </w:rPr>
        <w:t xml:space="preserve">SUPERVISOR:</w:t>
      </w:r>
    </w:p>
    <w:p>
      <w:pPr>
        <w:spacing w:after="360" w:line="259"/>
        <w:jc w:val="center"/>
      </w:pPr>
      <w:r>
        <w:rPr>
          <w:rFonts w:ascii="Times New Roman" w:eastAsia="Times New Roman"/>
          <w:color w:val="000000"/>
          <w:sz w:val="24"/>
          <w:szCs w:val="24"/>
        </w:rPr>
        <w:t xml:space="preserve">[SUPERVISOR NAME]</w:t>
      </w:r>
    </w:p>
    <w:p>
      <w:pPr>
        <w:pBdr>
          <w:bottom w:val="single" w:color="000000" w:sz="8"/>
        </w:pBdr>
        <w:spacing w:after="240" w:line="200"/>
        <w:jc w:val="center"/>
      </w:pPr>
      <w:r>
        <w:rPr>
          <w:sz w:val="2"/>
          <w:szCs w:val="2"/>
        </w:rPr>
        <w:t xml:space="preserve"/>
      </w:r>
    </w:p>
    <w:p>
      <w:pPr>
        <w:spacing w:after="240" w:before="360" w:line="259"/>
        <w:jc w:val="left"/>
      </w:pPr>
      <w:r>
        <w:rPr>
          <w:rFonts w:ascii="Times New Roman" w:eastAsia="Times New Roman"/>
          <w:b/>
          <w:bCs/>
          <w:color w:val="000000"/>
          <w:sz w:val="28"/>
          <w:szCs w:val="28"/>
        </w:rPr>
        <w:t xml:space="preserve">1.  TITLE OF PROJECT</w:t>
      </w:r>
    </w:p>
    <w:p>
      <w:pPr>
        <w:spacing w:after="160" w:line="320"/>
        <w:jc w:val="center"/>
      </w:pPr>
      <w:r>
        <w:rPr>
          <w:rFonts w:ascii="Times New Roman" w:eastAsia="Times New Roman"/>
          <w:b/>
          <w:bCs/>
          <w:color w:val="000000"/>
          <w:sz w:val="28"/>
          <w:szCs w:val="28"/>
        </w:rPr>
        <w:t xml:space="preserve">Design and Implementation of a Smart USB Power Socket with Android Monitoring Application</w:t>
      </w:r>
    </w:p>
    <w:p>
      <w:pPr>
        <w:spacing w:after="160" w:line="259"/>
        <w:ind w:firstLine="480"/>
        <w:jc w:val="both"/>
      </w:pPr>
      <w:r>
        <w:rPr>
          <w:rFonts w:ascii="Times New Roman" w:eastAsia="Times New Roman"/>
          <w:color w:val="000000"/>
          <w:sz w:val="24"/>
          <w:szCs w:val="24"/>
        </w:rPr>
        <w:t xml:space="preserve">The title above comprises seventeen (17) words, in compliance with the Nile University of Nigeria undergraduate project proposal guideline that the project title should not exceed eighteen to twenty words. The title captures the three core dimensions of the proposed work: the design and construction of a hardware smart socket, the integration of USB power-delivery functionality, and the development of a companion Android application for remote monitoring and control.</w:t>
      </w:r>
    </w:p>
    <w:p>
      <w:pPr>
        <w:spacing w:after="240" w:before="360" w:line="259"/>
        <w:jc w:val="left"/>
      </w:pPr>
      <w:r>
        <w:rPr>
          <w:rFonts w:ascii="Times New Roman" w:eastAsia="Times New Roman"/>
          <w:b/>
          <w:bCs/>
          <w:color w:val="000000"/>
          <w:sz w:val="28"/>
          <w:szCs w:val="28"/>
        </w:rPr>
        <w:t xml:space="preserve">2.  INTRODUCTION</w:t>
      </w:r>
    </w:p>
    <w:p>
      <w:pPr>
        <w:spacing w:after="160" w:before="200" w:line="259"/>
        <w:jc w:val="left"/>
      </w:pPr>
      <w:r>
        <w:rPr>
          <w:rFonts w:ascii="Times New Roman" w:eastAsia="Times New Roman"/>
          <w:b/>
          <w:bCs/>
          <w:color w:val="000000"/>
          <w:sz w:val="26"/>
          <w:szCs w:val="26"/>
        </w:rPr>
        <w:t xml:space="preserve">2.1  Background to the Study</w:t>
      </w:r>
    </w:p>
    <w:p>
      <w:pPr>
        <w:spacing w:after="160" w:line="259"/>
        <w:ind w:firstLine="480"/>
        <w:jc w:val="both"/>
      </w:pPr>
      <w:r>
        <w:rPr>
          <w:rFonts w:ascii="Times New Roman" w:eastAsia="Times New Roman"/>
          <w:color w:val="000000"/>
          <w:sz w:val="24"/>
          <w:szCs w:val="24"/>
        </w:rPr>
        <w:t xml:space="preserve">The Universal Serial Bus (USB) has evolved from a peripheral-interconnection standard into the dominant power-delivery and charging interface for portable consumer electronics, embedded systems, and Internet-of-Things (IoT) sensors. According to the USB Implementers Forum (2024), more than seven billion USB-enabled devices shipped globally in 2024, spanning smartphones, tablets, wearable gadgets, Bluetooth headsets, and low-power IoT nodes. In Nigeria, the rapid penetration of affordable Android smartphones and the expansion of mobile broadband have made the USB socket a near-universal feature of vehicular interiors, household extension boards, solar home systems, and small-office power distribution units (Nigerian Communications Commission, 2024).</w:t>
      </w:r>
    </w:p>
    <w:p>
      <w:pPr>
        <w:spacing w:after="160" w:line="259"/>
        <w:ind w:firstLine="480"/>
        <w:jc w:val="both"/>
      </w:pPr>
      <w:r>
        <w:rPr>
          <w:rFonts w:ascii="Times New Roman" w:eastAsia="Times New Roman"/>
          <w:color w:val="000000"/>
          <w:sz w:val="24"/>
          <w:szCs w:val="24"/>
        </w:rPr>
        <w:t xml:space="preserve">Despite this ubiquity, the majority of USB sockets in the Nigerian market remain passive power sources. They provide a regulated 5 V DC output but offer no visibility into voltage stability, current draw, energy consumption, or operational state. This opacity creates operational and economic problems for users. There is no early warning of regulator drift or component ageing, no mechanism to schedule charging around off-peak electricity tariffs, and no capability to remotely interrupt charging once a device is fully replenished. These limitations result in energy waste, reduced battery lifespan, and prevent demand-side management of USB-powered assets (Adewale, Okafor, &amp; Onuoha, 2023).</w:t>
      </w:r>
    </w:p>
    <w:p>
      <w:pPr>
        <w:spacing w:after="160" w:line="259"/>
        <w:ind w:firstLine="480"/>
        <w:jc w:val="both"/>
      </w:pPr>
      <w:r>
        <w:rPr>
          <w:rFonts w:ascii="Times New Roman" w:eastAsia="Times New Roman"/>
          <w:color w:val="000000"/>
          <w:sz w:val="24"/>
          <w:szCs w:val="24"/>
        </w:rPr>
        <w:t xml:space="preserve">The convergence of low-cost Wi-Fi microcontrollers, such as the Espressif ESP8266, with AI-assisted mobile development frameworks, such as Google Antigravity, has created a realistic pathway to retrofit intelligence into legacy USB power sockets. When such sockets are paired with Android applications, even undergraduate engineering students can build production-quality monitoring applications within a single academic session (Google, 2025). The proposed work therefore seeks to design and implement a Smart USB Power Socket that combines a proven linear-regulator circuit built around the LM317 with an ESP8266-based Wi-Fi telemetry stage and an Android monitoring application developed using Google Antigravity.</w:t>
      </w:r>
    </w:p>
    <w:p>
      <w:pPr>
        <w:spacing w:after="160" w:before="240" w:line="259"/>
        <w:jc w:val="left"/>
      </w:pPr>
      <w:r>
        <w:rPr>
          <w:rFonts w:ascii="Times New Roman" w:eastAsia="Times New Roman"/>
          <w:b/>
          <w:bCs/>
          <w:color w:val="000000"/>
          <w:sz w:val="26"/>
          <w:szCs w:val="26"/>
        </w:rPr>
        <w:t xml:space="preserve">2.2  Statement of the Research Problem</w:t>
      </w:r>
    </w:p>
    <w:p>
      <w:pPr>
        <w:spacing w:after="160" w:line="259"/>
        <w:ind w:firstLine="480"/>
        <w:jc w:val="both"/>
      </w:pPr>
      <w:r>
        <w:rPr>
          <w:rFonts w:ascii="Times New Roman" w:eastAsia="Times New Roman"/>
          <w:color w:val="000000"/>
          <w:sz w:val="24"/>
          <w:szCs w:val="24"/>
        </w:rPr>
        <w:t xml:space="preserve">Conventional USB power sockets available in the Nigerian market convert a 12 V battery or mains-derived DC source to a nominal 5 V output using discrete linear regulators such as the LM317 or its fixed-voltage counterparts. While these circuits are inexpensive and well-understood, they exhibit four operational limitations that the proposed smart socket seeks to address.</w:t>
      </w:r>
    </w:p>
    <w:p>
      <w:pPr>
        <w:spacing w:after="160" w:line="259"/>
        <w:ind w:firstLine="480"/>
        <w:jc w:val="both"/>
      </w:pPr>
      <w:r>
        <w:rPr>
          <w:rFonts w:ascii="Times New Roman" w:eastAsia="Times New Roman"/>
          <w:color w:val="000000"/>
          <w:sz w:val="24"/>
          <w:szCs w:val="24"/>
        </w:rPr>
        <w:t xml:space="preserve">First, there is an absence of remote monitoring. Users cannot, from a phone or computer, ascertain whether the socket is delivering the expected 5 V, how much current a connected device is drawing, or whether the regulator is operating within its safe thermal envelope. This lack of visibility contributes to premature device failure and makes root-cause analysis difficult when a connected smartphone charges slowly or refuses to charge at all. Second, there is an absence of remote control; once a device is plugged into a conventional USB socket, the only way to interrupt charging is to physically unplug it, which is inconvenient in scenarios such as overnight charging, scheduled charging of battery banks, or remote power-cycling of IoT sensors deployed in hard-to-reach locations.</w:t>
      </w:r>
    </w:p>
    <w:p>
      <w:pPr>
        <w:spacing w:after="160" w:line="259"/>
        <w:ind w:firstLine="480"/>
        <w:jc w:val="both"/>
      </w:pPr>
      <w:r>
        <w:rPr>
          <w:rFonts w:ascii="Times New Roman" w:eastAsia="Times New Roman"/>
          <w:color w:val="000000"/>
          <w:sz w:val="24"/>
          <w:szCs w:val="24"/>
        </w:rPr>
        <w:t xml:space="preserve">Third, there is an absence of energy accounting. Without measuring current and voltage over time, it is impossible to compute watt-hours consumed, which in turn makes it impossible to estimate the cost of charging or to identify inefficient chargers and faulty cables. In a country where off-grid solar installations are increasingly common, such information is critical for sizing battery banks and solar panels. Fourth, the absence of a scheduling mechanism means that USB sockets cannot participate in demand-side management strategies, depriving users of the tangible economic benefits of deferring charging to low-tariff windows during grid load-shedding (Adeyemi, Bello, &amp; Okoro, 2021).</w:t>
      </w:r>
    </w:p>
    <w:p>
      <w:pPr>
        <w:spacing w:after="160" w:before="240" w:line="259"/>
        <w:jc w:val="left"/>
      </w:pPr>
      <w:r>
        <w:rPr>
          <w:rFonts w:ascii="Times New Roman" w:eastAsia="Times New Roman"/>
          <w:b/>
          <w:bCs/>
          <w:color w:val="000000"/>
          <w:sz w:val="26"/>
          <w:szCs w:val="26"/>
        </w:rPr>
        <w:t xml:space="preserve">2.3  Justification of the Study</w:t>
      </w:r>
    </w:p>
    <w:p>
      <w:pPr>
        <w:spacing w:after="160" w:line="259"/>
        <w:ind w:firstLine="480"/>
        <w:jc w:val="both"/>
      </w:pPr>
      <w:r>
        <w:rPr>
          <w:rFonts w:ascii="Times New Roman" w:eastAsia="Times New Roman"/>
          <w:color w:val="000000"/>
          <w:sz w:val="24"/>
          <w:szCs w:val="24"/>
        </w:rPr>
        <w:t xml:space="preserve">The proposed study is justified on four grounds. First, the study addresses a real and currently unmet need in the Nigerian consumer-electronics landscape, where the vast majority of USB sockets in use remain passive and unmonitored. The proposed smart socket provides voltage stability monitoring, current measurement, energy accounting, scheduling, and remote control within a single integrated device, addressing all four limitations identified in Section 2.2.</w:t>
      </w:r>
    </w:p>
    <w:p>
      <w:pPr>
        <w:spacing w:after="160" w:line="259"/>
        <w:ind w:firstLine="480"/>
        <w:jc w:val="both"/>
      </w:pPr>
      <w:r>
        <w:rPr>
          <w:rFonts w:ascii="Times New Roman" w:eastAsia="Times New Roman"/>
          <w:color w:val="000000"/>
          <w:sz w:val="24"/>
          <w:szCs w:val="24"/>
        </w:rPr>
        <w:t xml:space="preserve">Second, the study is timely. The constituent technologies—the ESP8266 Wi-Fi microcontroller, the LM317 regulator, and AI-assisted Android development using Google Antigravity—are now mature and affordable enough that a complete smart socket can be built for under fifty thousand Naira, well within the budget envelope of a Nigerian undergraduate project and competitive with imported alternatives. Third, the study is original in the Nigerian academic context, as no published work in the local literature has yet documented the integration of a classical linear-regulator design with the ESP8266 and a Google Antigravity-built Android application. Fourth, the study is feasible within the timeframe of a single academic session; all required components are available from Nigerian online stores such as Jumia, Konga, Microscale, and Nicrobit, and the firmware and software development toolchains are free and well-documented.</w:t>
      </w:r>
    </w:p>
    <w:p>
      <w:pPr>
        <w:spacing w:after="160" w:before="240" w:line="259"/>
        <w:jc w:val="left"/>
      </w:pPr>
      <w:r>
        <w:rPr>
          <w:rFonts w:ascii="Times New Roman" w:eastAsia="Times New Roman"/>
          <w:b/>
          <w:bCs/>
          <w:color w:val="000000"/>
          <w:sz w:val="26"/>
          <w:szCs w:val="26"/>
        </w:rPr>
        <w:t xml:space="preserve">2.4  Research Aim and Objectives</w:t>
      </w:r>
    </w:p>
    <w:p>
      <w:pPr>
        <w:spacing w:after="160" w:line="259"/>
        <w:ind w:firstLine="480"/>
        <w:jc w:val="both"/>
      </w:pPr>
      <w:r>
        <w:rPr>
          <w:rFonts w:ascii="Times New Roman" w:eastAsia="Times New Roman"/>
          <w:color w:val="000000"/>
          <w:sz w:val="24"/>
          <w:szCs w:val="24"/>
        </w:rPr>
        <w:t xml:space="preserve">The main aim of this project is to design and implement a Smart USB Power Socket with Android monitoring and control capability, suitable for Nigerian residential, automotive, and small-office applications. The specific objectives through which this aim will be achieved are to:</w:t>
      </w:r>
    </w:p>
    <w:p>
      <w:pPr>
        <w:spacing w:after="120" w:line="259"/>
        <w:ind w:left="720" w:hanging="480"/>
        <w:jc w:val="both"/>
      </w:pPr>
      <w:r>
        <w:rPr>
          <w:rFonts w:ascii="Times New Roman" w:eastAsia="Times New Roman"/>
          <w:color w:val="000000"/>
          <w:sz w:val="24"/>
          <w:szCs w:val="24"/>
        </w:rPr>
        <w:t xml:space="preserve">i.  </w:t>
      </w:r>
      <w:r>
        <w:rPr>
          <w:rFonts w:ascii="Times New Roman" w:eastAsia="Times New Roman"/>
          <w:color w:val="000000"/>
          <w:sz w:val="24"/>
          <w:szCs w:val="24"/>
        </w:rPr>
        <w:t xml:space="preserve">Design and construct a 12 V-to-5 V DC-DC conversion stage using the LM317 adjustable linear regulator, with appropriate reverse-polarity protection, input and output filtering, over-voltage clamping, and power indication.</w:t>
      </w:r>
    </w:p>
    <w:p>
      <w:pPr>
        <w:spacing w:after="120" w:line="259"/>
        <w:ind w:left="720" w:hanging="480"/>
        <w:jc w:val="both"/>
      </w:pPr>
      <w:r>
        <w:rPr>
          <w:rFonts w:ascii="Times New Roman" w:eastAsia="Times New Roman"/>
          <w:color w:val="000000"/>
          <w:sz w:val="24"/>
          <w:szCs w:val="24"/>
        </w:rPr>
        <w:t xml:space="preserve">ii.  </w:t>
      </w:r>
      <w:r>
        <w:rPr>
          <w:rFonts w:ascii="Times New Roman" w:eastAsia="Times New Roman"/>
          <w:color w:val="000000"/>
          <w:sz w:val="24"/>
          <w:szCs w:val="24"/>
        </w:rPr>
        <w:t xml:space="preserve">Interface an ESP8266 NodeMCU Wi-Fi module to the regulator output through a voltage divider and an ACS712 hall-effect current sensor, and develop firmware that publishes real-time voltage, current, and power readings over the local Wi-Fi network.</w:t>
      </w:r>
    </w:p>
    <w:p>
      <w:pPr>
        <w:spacing w:after="120" w:line="259"/>
        <w:ind w:left="720" w:hanging="480"/>
        <w:jc w:val="both"/>
      </w:pPr>
      <w:r>
        <w:rPr>
          <w:rFonts w:ascii="Times New Roman" w:eastAsia="Times New Roman"/>
          <w:color w:val="000000"/>
          <w:sz w:val="24"/>
          <w:szCs w:val="24"/>
        </w:rPr>
        <w:t xml:space="preserve">iii.  </w:t>
      </w:r>
      <w:r>
        <w:rPr>
          <w:rFonts w:ascii="Times New Roman" w:eastAsia="Times New Roman"/>
          <w:color w:val="000000"/>
          <w:sz w:val="24"/>
          <w:szCs w:val="24"/>
        </w:rPr>
        <w:t xml:space="preserve">Implement an Android monitoring application using Google Antigravity as the AI-assisted development environment, providing remote ON/OFF control, a real-time and historical power-consumption chart, and a scheduling module for time-based automation.</w:t>
      </w:r>
    </w:p>
    <w:p>
      <w:pPr>
        <w:spacing w:after="120" w:line="259"/>
        <w:ind w:left="720" w:hanging="480"/>
        <w:jc w:val="both"/>
      </w:pPr>
      <w:r>
        <w:rPr>
          <w:rFonts w:ascii="Times New Roman" w:eastAsia="Times New Roman"/>
          <w:color w:val="000000"/>
          <w:sz w:val="24"/>
          <w:szCs w:val="24"/>
        </w:rPr>
        <w:t xml:space="preserve">iv.  </w:t>
      </w:r>
      <w:r>
        <w:rPr>
          <w:rFonts w:ascii="Times New Roman" w:eastAsia="Times New Roman"/>
          <w:color w:val="000000"/>
          <w:sz w:val="24"/>
          <w:szCs w:val="24"/>
        </w:rPr>
        <w:t xml:space="preserve">Integrate a relay-based galvanic isolation stage between the regulator output and the USB Type-A socket to enable safe remote control of charging.</w:t>
      </w:r>
    </w:p>
    <w:p>
      <w:pPr>
        <w:spacing w:after="120" w:line="259"/>
        <w:ind w:left="720" w:hanging="480"/>
        <w:jc w:val="both"/>
      </w:pPr>
      <w:r>
        <w:rPr>
          <w:rFonts w:ascii="Times New Roman" w:eastAsia="Times New Roman"/>
          <w:color w:val="000000"/>
          <w:sz w:val="24"/>
          <w:szCs w:val="24"/>
        </w:rPr>
        <w:t xml:space="preserve">v.  </w:t>
      </w:r>
      <w:r>
        <w:rPr>
          <w:rFonts w:ascii="Times New Roman" w:eastAsia="Times New Roman"/>
          <w:color w:val="000000"/>
          <w:sz w:val="24"/>
          <w:szCs w:val="24"/>
        </w:rPr>
        <w:t xml:space="preserve">Test and evaluate the complete system for voltage stability across load currents of 0–1.2 A, app response time across Wi-Fi distances of 1–15 m, and energy-metering accuracy against a calibrated benchtop multimeter.</w:t>
      </w:r>
    </w:p>
    <w:p>
      <w:pPr>
        <w:spacing w:after="160" w:before="240" w:line="259"/>
        <w:jc w:val="left"/>
      </w:pPr>
      <w:r>
        <w:rPr>
          <w:rFonts w:ascii="Times New Roman" w:eastAsia="Times New Roman"/>
          <w:b/>
          <w:bCs/>
          <w:color w:val="000000"/>
          <w:sz w:val="26"/>
          <w:szCs w:val="26"/>
        </w:rPr>
        <w:t xml:space="preserve">2.5  Significance of the Study</w:t>
      </w:r>
    </w:p>
    <w:p>
      <w:pPr>
        <w:spacing w:after="160" w:line="259"/>
        <w:ind w:firstLine="480"/>
        <w:jc w:val="both"/>
      </w:pPr>
      <w:r>
        <w:rPr>
          <w:rFonts w:ascii="Times New Roman" w:eastAsia="Times New Roman"/>
          <w:color w:val="000000"/>
          <w:sz w:val="24"/>
          <w:szCs w:val="24"/>
        </w:rPr>
        <w:t xml:space="preserve">The proposed study is significant in several dimensions. From an academic standpoint, it demonstrates the integration of classical analogue electronics (the LM317 regulator family) with modern embedded Wi-Fi (ESP8266) and AI-assisted mobile development (Google Antigravity) within a single undergraduate deliverable. It therefore serves as a reference template for future final-year projects that seek to combine hardware, firmware, and software into a coherent IoT system. From an industrial standpoint, the smart socket addresses real needs in the Nigerian context: for households, it provides visibility into the cost of charging mobile devices and supports demand-side management; for small businesses such as phone-repair workshops, cybercafés, and charging kiosks, it enables energy accounting and asset tracking; for automotive applications, it allows drivers to monitor the state of in-vehicle USB charging ports without manual inspection.</w:t>
      </w:r>
    </w:p>
    <w:p>
      <w:pPr>
        <w:spacing w:after="160" w:line="259"/>
        <w:ind w:firstLine="480"/>
        <w:jc w:val="both"/>
      </w:pPr>
      <w:r>
        <w:rPr>
          <w:rFonts w:ascii="Times New Roman" w:eastAsia="Times New Roman"/>
          <w:color w:val="000000"/>
          <w:sz w:val="24"/>
          <w:szCs w:val="24"/>
        </w:rPr>
        <w:t xml:space="preserve">From a research standpoint, the system provides a low-cost experimental platform for studying load profiles of USB-powered devices, regulator thermal behaviour under continuous duty, and the trade-offs between linear and switch-mode regulation in cost-sensitive applications. The hardware bill of materials is intentionally kept affordable to enable replication by other Nigerian undergraduate researchers. Finally, the project contributes to the localisation of smart-home technology in Nigeria: the vast majority of commercial smart sockets sold locally are imported, costly, and poorly supported. By demonstrating that a functionally equivalent device can be designed, fabricated, and programmed locally, this work contributes to the broader agenda of building indigenous capacity in IoT engineering.</w:t>
      </w:r>
    </w:p>
    <w:p>
      <w:pPr>
        <w:spacing w:after="240" w:before="360" w:line="259"/>
        <w:jc w:val="left"/>
      </w:pPr>
      <w:r>
        <w:rPr>
          <w:rFonts w:ascii="Times New Roman" w:eastAsia="Times New Roman"/>
          <w:b/>
          <w:bCs/>
          <w:color w:val="000000"/>
          <w:sz w:val="28"/>
          <w:szCs w:val="28"/>
        </w:rPr>
        <w:t xml:space="preserve">3.  MATERIALS AND METHODS</w:t>
      </w:r>
    </w:p>
    <w:p>
      <w:pPr>
        <w:spacing w:after="160" w:line="259"/>
        <w:ind w:firstLine="480"/>
        <w:jc w:val="both"/>
      </w:pPr>
      <w:r>
        <w:rPr>
          <w:rFonts w:ascii="Times New Roman" w:eastAsia="Times New Roman"/>
          <w:color w:val="000000"/>
          <w:sz w:val="24"/>
          <w:szCs w:val="24"/>
        </w:rPr>
        <w:t xml:space="preserve">This section presents the techniques, materials, and equipment that will be used to design, construct, and evaluate the Smart USB Power Socket. The methodology follows a top-down approach: the system is first described at the block-diagram level, then each functional block is elaborated in turn, and finally the firmware and software layers that bind the hardware into a coherent smart-socket system are presented.</w:t>
      </w:r>
    </w:p>
    <w:p>
      <w:pPr>
        <w:spacing w:after="160" w:before="240" w:line="259"/>
        <w:jc w:val="left"/>
      </w:pPr>
      <w:r>
        <w:rPr>
          <w:rFonts w:ascii="Times New Roman" w:eastAsia="Times New Roman"/>
          <w:b/>
          <w:bCs/>
          <w:color w:val="000000"/>
          <w:sz w:val="26"/>
          <w:szCs w:val="26"/>
        </w:rPr>
        <w:t xml:space="preserve">3.1  System Architecture and Design Approach</w:t>
      </w:r>
    </w:p>
    <w:p>
      <w:pPr>
        <w:spacing w:after="160" w:line="259"/>
        <w:ind w:firstLine="480"/>
        <w:jc w:val="both"/>
      </w:pPr>
      <w:r>
        <w:rPr>
          <w:rFonts w:ascii="Times New Roman" w:eastAsia="Times New Roman"/>
          <w:color w:val="000000"/>
          <w:sz w:val="24"/>
          <w:szCs w:val="24"/>
        </w:rPr>
        <w:t xml:space="preserve">The Smart USB Power Socket comprises five functional blocks: (i) the power input and protection block, (ii) the voltage regulation block, (iii) the sensing block, (iv) the control block, and (v) the communication block. The power input and protection block accepts 12 V DC from a cigar-lighter plug or mains-derived adapter and provides reverse-polarity protection through a 1N4007 diode and input filtering through a 470 µF electrolytic capacitor. The voltage regulation block, centred on the LM317, reduces the 12 V input to a regulated 5 V output suitable for USB devices. The sensing block measures the regulator output voltage through a voltage divider and the load current through an ACS712 hall-effect sensor, both interfaced to the analogue-to-digital converter of the ESP8266. The control block uses a relay placed between the regulator output and the USB Type-A socket to interrupt the load under firmware command. The communication block, implemented by the ESP8266’s built-in Wi-Fi radio, hosts a lightweight HTTP endpoint that exposes status JSON and accepts control commands from the Android application. The design approach is modular and staged: each block will be constructed and tested independently before integration, in line with the engineering reproducibility standards articulated by Vincent, Okonkwo, and Bello (2023).</w:t>
      </w:r>
    </w:p>
    <w:p>
      <w:pPr>
        <w:spacing w:after="160" w:before="240" w:line="259"/>
        <w:jc w:val="left"/>
      </w:pPr>
      <w:r>
        <w:rPr>
          <w:rFonts w:ascii="Times New Roman" w:eastAsia="Times New Roman"/>
          <w:b/>
          <w:bCs/>
          <w:color w:val="000000"/>
          <w:sz w:val="26"/>
          <w:szCs w:val="26"/>
        </w:rPr>
        <w:t xml:space="preserve">3.2  Circuit Design and Analysis Method</w:t>
      </w:r>
    </w:p>
    <w:p>
      <w:pPr>
        <w:spacing w:after="160" w:line="259"/>
        <w:ind w:firstLine="480"/>
        <w:jc w:val="both"/>
      </w:pPr>
      <w:r>
        <w:rPr>
          <w:rFonts w:ascii="Times New Roman" w:eastAsia="Times New Roman"/>
          <w:color w:val="000000"/>
          <w:sz w:val="24"/>
          <w:szCs w:val="24"/>
        </w:rPr>
        <w:t xml:space="preserve">The output voltage of the LM317 regulator is set by an external resistor divider R1 and R2 according to Equation 1, where Vref is the internal 1.25 V reference and Iadj is the adjustment-pin current (typically 50 µA):</w:t>
      </w:r>
    </w:p>
    <w:p>
      <w:pPr>
        <w:spacing w:after="120" w:before="120" w:line="259"/>
        <w:jc w:val="center"/>
      </w:pPr>
      <w:r>
        <w:rPr>
          <w:rFonts w:ascii="Times New Roman" w:eastAsia="Times New Roman"/>
          <w:i/>
          <w:iCs/>
          <w:color w:val="000000"/>
          <w:sz w:val="24"/>
          <w:szCs w:val="24"/>
        </w:rPr>
        <w:t xml:space="preserve">Vout = Vref × (1 + R2/R1) + Iadj × R2     … (1)</w:t>
      </w:r>
    </w:p>
    <w:p>
      <w:pPr>
        <w:spacing w:after="160" w:line="259"/>
        <w:ind w:firstLine="480"/>
        <w:jc w:val="both"/>
      </w:pPr>
      <w:r>
        <w:rPr>
          <w:rFonts w:ascii="Times New Roman" w:eastAsia="Times New Roman"/>
          <w:color w:val="000000"/>
          <w:sz w:val="24"/>
          <w:szCs w:val="24"/>
        </w:rPr>
        <w:t xml:space="preserve">Substituting Vref = 1.25 V, R1 = 270 Ω, and R2 = 820 Ω yields Vout = 1.25 × (1 + 820/270) + (50 × 10⁻⁶) × 820 = 5.09 V, which is comfortably within the USB 2.0 safe band of 4.75–5.25 V (Texas Instruments, 2023). The LM317 will be selected in the TO-220 package and bolted to a 25 × 25 × 11 mm aluminium heatsink to manage the worst-case 8.4 W dissipation at full load. A 5.6 V Zener diode across the output provides over-voltage clamping in the event of regulator failure, while input and output capacitors (470 µF and 10 µF respectively) provide ripple rejection and transient response. A 1N4007 diode in series with the input provides reverse-polarity protection, which is essential in automotive applications where the cigar-lighter socket polarity may be inconsistent across vehicle models (STMicroelectronics, 2023).</w:t>
      </w:r>
    </w:p>
    <w:p>
      <w:pPr>
        <w:spacing w:after="160" w:before="240" w:line="259"/>
        <w:jc w:val="left"/>
      </w:pPr>
      <w:r>
        <w:rPr>
          <w:rFonts w:ascii="Times New Roman" w:eastAsia="Times New Roman"/>
          <w:b/>
          <w:bCs/>
          <w:color w:val="000000"/>
          <w:sz w:val="26"/>
          <w:szCs w:val="26"/>
        </w:rPr>
        <w:t xml:space="preserve">3.3  Firmware Development Method</w:t>
      </w:r>
    </w:p>
    <w:p>
      <w:pPr>
        <w:spacing w:after="160" w:line="259"/>
        <w:ind w:firstLine="480"/>
        <w:jc w:val="both"/>
      </w:pPr>
      <w:r>
        <w:rPr>
          <w:rFonts w:ascii="Times New Roman" w:eastAsia="Times New Roman"/>
          <w:color w:val="000000"/>
          <w:sz w:val="24"/>
          <w:szCs w:val="24"/>
        </w:rPr>
        <w:t xml:space="preserve">The ESP8266 firmware will be developed in the Arduino IDE using the ESP8266 Arduino Core. The firmware will be organised into five functional modules: Wi-Fi connection management, HTTP server, sensor reading, relay control, and the main loop. The Wi-Fi module will use the ESP8266WiFi library to connect the device to the local 2.4 GHz network in station mode and to reconnect automatically in the event of disconnection. The HTTP server, implemented using the ESP8266WebServer library, will expose four endpoints: GET /status returns the current voltage, current, power, and relay state as a JSON object; POST /relay with body {"state": "on"|"off"} commands the relay; GET /history?hours=24 returns an array of timestamped power readings for the chart; and GET /schedules returns the list of stored schedules (Babangida, Idris, &amp; Yusuf, 2024).</w:t>
      </w:r>
    </w:p>
    <w:p>
      <w:pPr>
        <w:spacing w:after="160" w:line="259"/>
        <w:ind w:firstLine="480"/>
        <w:jc w:val="both"/>
      </w:pPr>
      <w:r>
        <w:rPr>
          <w:rFonts w:ascii="Times New Roman" w:eastAsia="Times New Roman"/>
          <w:color w:val="000000"/>
          <w:sz w:val="24"/>
          <w:szCs w:val="24"/>
        </w:rPr>
        <w:t xml:space="preserve">The sensor reading module will sample the voltage and current ADC channels at 10 Hz. Each sample will be converted to engineering units using calibration constants stored in non-volatile memory. The instantaneous power will be computed as the product of voltage and current. A 60-sample rolling average (corresponding to 6 seconds of data) will be published to the /status endpoint. Every 60 seconds, the average power over the preceding minute will be multiplied by 1/60 hour to obtain watt-hours, which will be accumulated into the daily energy register. JSON was preferred over binary protocols for ease of debugging and for compatibility with the Retrofit Gson converter on the Android side (Senthilkumar, Anitha, &amp; Prabhu, 2024).</w:t>
      </w:r>
    </w:p>
    <w:p>
      <w:pPr>
        <w:spacing w:after="160" w:before="240" w:line="259"/>
        <w:jc w:val="left"/>
      </w:pPr>
      <w:r>
        <w:rPr>
          <w:rFonts w:ascii="Times New Roman" w:eastAsia="Times New Roman"/>
          <w:b/>
          <w:bCs/>
          <w:color w:val="000000"/>
          <w:sz w:val="26"/>
          <w:szCs w:val="26"/>
        </w:rPr>
        <w:t xml:space="preserve">3.4  Android Application Development Method</w:t>
      </w:r>
    </w:p>
    <w:p>
      <w:pPr>
        <w:spacing w:after="160" w:line="259"/>
        <w:ind w:firstLine="480"/>
        <w:jc w:val="both"/>
      </w:pPr>
      <w:r>
        <w:rPr>
          <w:rFonts w:ascii="Times New Roman" w:eastAsia="Times New Roman"/>
          <w:color w:val="000000"/>
          <w:sz w:val="24"/>
          <w:szCs w:val="24"/>
        </w:rPr>
        <w:t xml:space="preserve">The Android application will be developed in Android Studio with Google Antigravity as the AI-assisted development environment. The app will target Android 8.0 (API level 26) and above, use Kotlin 1.9, Jetpack Compose for declarative UI construction, and follow the Model-View-ViewModel (MVVM) architecture recommended by Google (2024). Networking will be handled by the Retrofit 2.9 library with the Gson converter, asynchronous operations by Kotlin Coroutines, and persistent storage of schedules by the Room database wrapper over SQLite.</w:t>
      </w:r>
    </w:p>
    <w:p>
      <w:pPr>
        <w:spacing w:after="160" w:line="259"/>
        <w:ind w:firstLine="480"/>
        <w:jc w:val="both"/>
      </w:pPr>
      <w:r>
        <w:rPr>
          <w:rFonts w:ascii="Times New Roman" w:eastAsia="Times New Roman"/>
          <w:color w:val="000000"/>
          <w:sz w:val="24"/>
          <w:szCs w:val="24"/>
        </w:rPr>
        <w:t xml:space="preserve">The UI layer will consist of three Compose screens: a Dashboard screen that displays the current voltage, current, and power readings together with a toggle button for the relay; a Power Chart screen that displays a 24-hour bar chart of power consumption using MPAndroidChart 3.1; and a Schedule screen that lists configured ON/OFF schedules and allows the user to add new ones. The ViewModel will expose a StateFlow&lt;UiState&gt; that the UI collects using the collectAsStateWithLifecycle extension. The Repository will abstract the source of data (network or local cache) and expose suspend functions for the use cases. Google Antigravity will be used to scaffold the MVVM architecture, generate the Retrofit network layer, draft the Jetpack Compose UI for all three screens, and produce the initial MPAndroidChart configuration; the generated code will then be refined, tested, and integrated with the ESP8266 endpoint (Kumar &amp; Sharma, 2025).</w:t>
      </w:r>
    </w:p>
    <w:p>
      <w:pPr>
        <w:spacing w:after="160" w:before="240" w:line="259"/>
        <w:jc w:val="left"/>
      </w:pPr>
      <w:r>
        <w:rPr>
          <w:rFonts w:ascii="Times New Roman" w:eastAsia="Times New Roman"/>
          <w:b/>
          <w:bCs/>
          <w:color w:val="000000"/>
          <w:sz w:val="26"/>
          <w:szCs w:val="26"/>
        </w:rPr>
        <w:t xml:space="preserve">3.5  Testing and Evaluation Method</w:t>
      </w:r>
    </w:p>
    <w:p>
      <w:pPr>
        <w:spacing w:after="160" w:line="259"/>
        <w:ind w:firstLine="480"/>
        <w:jc w:val="both"/>
      </w:pPr>
      <w:r>
        <w:rPr>
          <w:rFonts w:ascii="Times New Roman" w:eastAsia="Times New Roman"/>
          <w:color w:val="000000"/>
          <w:sz w:val="24"/>
          <w:szCs w:val="24"/>
        </w:rPr>
        <w:t xml:space="preserve">The complete system will be tested along four dimensions. Voltage-regulation stability will be tested using an electronic load capable of sinking 0–2 A at 5 V, with the load current stepped from 0 A to 1.2 A in 0.1 A increments and the output voltage recorded at each step using a calibrated Fluke 87V benchtop multimeter. The pass criterion is that the output voltage remains within the USB 2.0 safe band of 4.75–5.25 V at all tested load currents.</w:t>
      </w:r>
    </w:p>
    <w:p>
      <w:pPr>
        <w:spacing w:after="160" w:line="259"/>
        <w:ind w:firstLine="480"/>
        <w:jc w:val="both"/>
      </w:pPr>
      <w:r>
        <w:rPr>
          <w:rFonts w:ascii="Times New Roman" w:eastAsia="Times New Roman"/>
          <w:color w:val="000000"/>
          <w:sz w:val="24"/>
          <w:szCs w:val="24"/>
        </w:rPr>
        <w:t xml:space="preserve">App response time will be tested by placing the Android phone at distances of 1, 3, 5, 8, 10, 12, and 15 metres from the Wi-Fi router and issuing a /status request from the app, with each measurement repeated ten times and the median value recorded. The pass criterion is a median response time below 100 ms. Energy-metering accuracy will be tested by simultaneously logging the system’s reported power consumption and the benchtop multimeter’s reported power consumption over a 60-minute period with a 0.5 A constant load, and computing the relative error. End-to-end functional behaviour will be tested by performing ten complete cycles of: open app, verify status, toggle relay off, verify charging stops, toggle relay on, verify charging resumes, schedule a 1-minute off-on cycle, verify schedule executes.</w:t>
      </w:r>
    </w:p>
    <w:p>
      <w:pPr>
        <w:spacing w:after="160" w:before="240" w:line="259"/>
        <w:jc w:val="left"/>
      </w:pPr>
      <w:r>
        <w:rPr>
          <w:rFonts w:ascii="Times New Roman" w:eastAsia="Times New Roman"/>
          <w:b/>
          <w:bCs/>
          <w:color w:val="000000"/>
          <w:sz w:val="26"/>
          <w:szCs w:val="26"/>
        </w:rPr>
        <w:t xml:space="preserve">3.6  Materials and Equipment</w:t>
      </w:r>
    </w:p>
    <w:p>
      <w:pPr>
        <w:spacing w:after="160" w:line="259"/>
        <w:ind w:firstLine="480"/>
        <w:jc w:val="both"/>
      </w:pPr>
      <w:r>
        <w:rPr>
          <w:rFonts w:ascii="Times New Roman" w:eastAsia="Times New Roman"/>
          <w:color w:val="000000"/>
          <w:sz w:val="24"/>
          <w:szCs w:val="24"/>
        </w:rPr>
        <w:t xml:space="preserve">The complete list of materials and equipment required for the project is presented in the budget (Section 5). Key hardware materials include the LM317 voltage regulator, ESP8266 NodeMCU v3 development board, ACS712 current sensor module, 5 V single-channel relay module, USB Type-A female socket (DIP adapter), 12 V cigar-lighter plug, 12 V DC barrel-jack adapter, an assortment of electrolytic and ceramic capacitors, 1N4007 rectifier diodes, 5.6 V Zener diodes, 5 mm LEDs, an assortment of 1/4 W resistors, an 830-point solderless breadboard, jumper wires, a perfboard, a plastic enclosure, a TO-220 heatsink, and miscellaneous consumables (solder, flux, heat-shrink tubing, mounting hardware).</w:t>
      </w:r>
    </w:p>
    <w:p>
      <w:pPr>
        <w:spacing w:after="160" w:line="259"/>
        <w:ind w:firstLine="480"/>
        <w:jc w:val="both"/>
      </w:pPr>
      <w:r>
        <w:rPr>
          <w:rFonts w:ascii="Times New Roman" w:eastAsia="Times New Roman"/>
          <w:color w:val="000000"/>
          <w:sz w:val="24"/>
          <w:szCs w:val="24"/>
        </w:rPr>
        <w:t xml:space="preserve">Software tools required include the Arduino IDE (free, open-source) for ESP8266 firmware development, Android Studio with Google Antigravity (free) for Android application development, the Fluke 87V benchtop multimeter (available in the departmental laboratory) for voltage and current calibration, an electronic load (available in the departmental laboratory) for load testing, and a Wi-Fi router (personally owned) for communication testing. All hardware components have been verified as available from Nigerian online stores including Jumia Nigeria, Konga, Microscale.net, Nicrobit.com.ng, and Nerdshed.com.ng, with prices confirmed in June 2025 as detailed in the budget.</w:t>
      </w:r>
    </w:p>
    <w:p>
      <w:pPr>
        <w:spacing w:after="240" w:before="360" w:line="259"/>
        <w:jc w:val="left"/>
      </w:pPr>
      <w:r>
        <w:rPr>
          <w:rFonts w:ascii="Times New Roman" w:eastAsia="Times New Roman"/>
          <w:b/>
          <w:bCs/>
          <w:color w:val="000000"/>
          <w:sz w:val="28"/>
          <w:szCs w:val="28"/>
        </w:rPr>
        <w:t xml:space="preserve">4.  RESEARCH TIMELINE</w:t>
      </w:r>
    </w:p>
    <w:p>
      <w:pPr>
        <w:spacing w:after="160" w:line="259"/>
        <w:ind w:firstLine="480"/>
        <w:jc w:val="both"/>
      </w:pPr>
      <w:r>
        <w:rPr>
          <w:rFonts w:ascii="Times New Roman" w:eastAsia="Times New Roman"/>
          <w:color w:val="000000"/>
          <w:sz w:val="24"/>
          <w:szCs w:val="24"/>
        </w:rPr>
        <w:t xml:space="preserve">The proposed project will be executed over a period of eight (8) months, spanning the 2025/2026 academic session from September 2025 to April 2026. The timeline is structured to ensure that each major activity—literature review, hardware design, firmware development, Android development, integration, testing, and report writing—receives adequate attention and overlaps sensibly with related activities. Table 4.1 presents the Gantt-style timeline, with each “X” indicating the months during which the corresponding activity will be actively executed.</w:t>
      </w:r>
    </w:p>
    <w:p>
      <w:pPr>
        <w:keepNext/>
        <w:spacing w:after="120" w:before="240" w:line="259"/>
        <w:jc w:val="center"/>
      </w:pPr>
      <w:r>
        <w:rPr>
          <w:rFonts w:ascii="Times New Roman" w:eastAsia="Times New Roman"/>
          <w:b/>
          <w:bCs/>
          <w:color w:val="000000"/>
          <w:sz w:val="22"/>
          <w:szCs w:val="22"/>
        </w:rPr>
        <w:t xml:space="preserve">Table 4.1: Project research timeline (September 2025 – April 2026)</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gridCol w:w="100"/>
        <w:gridCol w:w="100"/>
        <w:gridCol w:w="100"/>
        <w:gridCol w:w="100"/>
      </w:tblGrid>
      <w:tr>
        <w:trPr>
          <w:cantSplit/>
          <w:tblHeader/>
        </w:trPr>
        <w:tc>
          <w:tcPr>
            <w:tcW w:type="pct" w:w="28%"/>
            <w:tcBorders>
              <w:top w:val="single" w:color="000000" w:sz="6"/>
              <w:left w:val="single" w:color="000000" w:sz="6"/>
              <w:bottom w:val="single" w:color="000000" w:sz="6"/>
              <w:right w:val="single" w:color="000000" w:sz="6"/>
            </w:tcBorders>
            <w:shd w:fill="D9E2F3" w:val="clear"/>
            <w:tcMar>
              <w:top w:type="dxa" w:w="70"/>
              <w:left w:type="dxa" w:w="80"/>
              <w:bottom w:type="dxa" w:w="70"/>
              <w:right w:type="dxa" w:w="80"/>
            </w:tcMar>
          </w:tcPr>
          <w:p>
            <w:pPr>
              <w:spacing w:line="260"/>
              <w:jc w:val="center"/>
            </w:pPr>
            <w:r>
              <w:rPr>
                <w:rFonts w:ascii="Times New Roman" w:eastAsia="Times New Roman"/>
                <w:b/>
                <w:bCs/>
                <w:color w:val="000000"/>
                <w:sz w:val="20"/>
                <w:szCs w:val="20"/>
              </w:rPr>
              <w:t xml:space="preserve">Activity</w:t>
            </w:r>
          </w:p>
        </w:tc>
        <w:tc>
          <w:tcPr>
            <w:tcW w:type="pct" w:w="9%"/>
            <w:tcBorders>
              <w:top w:val="single" w:color="000000" w:sz="6"/>
              <w:left w:val="single" w:color="000000" w:sz="6"/>
              <w:bottom w:val="single" w:color="000000" w:sz="6"/>
              <w:right w:val="single" w:color="000000" w:sz="6"/>
            </w:tcBorders>
            <w:shd w:fill="D9E2F3" w:val="clear"/>
            <w:tcMar>
              <w:top w:type="dxa" w:w="70"/>
              <w:left w:type="dxa" w:w="80"/>
              <w:bottom w:type="dxa" w:w="70"/>
              <w:right w:type="dxa" w:w="80"/>
            </w:tcMar>
          </w:tcPr>
          <w:p>
            <w:pPr>
              <w:spacing w:line="260"/>
              <w:jc w:val="center"/>
            </w:pPr>
            <w:r>
              <w:rPr>
                <w:rFonts w:ascii="Times New Roman" w:eastAsia="Times New Roman"/>
                <w:b/>
                <w:bCs/>
                <w:color w:val="000000"/>
                <w:sz w:val="20"/>
                <w:szCs w:val="20"/>
              </w:rPr>
              <w:t xml:space="preserve">Sep '25</w:t>
            </w:r>
          </w:p>
        </w:tc>
        <w:tc>
          <w:tcPr>
            <w:tcW w:type="pct" w:w="9%"/>
            <w:tcBorders>
              <w:top w:val="single" w:color="000000" w:sz="6"/>
              <w:left w:val="single" w:color="000000" w:sz="6"/>
              <w:bottom w:val="single" w:color="000000" w:sz="6"/>
              <w:right w:val="single" w:color="000000" w:sz="6"/>
            </w:tcBorders>
            <w:shd w:fill="D9E2F3" w:val="clear"/>
            <w:tcMar>
              <w:top w:type="dxa" w:w="70"/>
              <w:left w:type="dxa" w:w="80"/>
              <w:bottom w:type="dxa" w:w="70"/>
              <w:right w:type="dxa" w:w="80"/>
            </w:tcMar>
          </w:tcPr>
          <w:p>
            <w:pPr>
              <w:spacing w:line="260"/>
              <w:jc w:val="center"/>
            </w:pPr>
            <w:r>
              <w:rPr>
                <w:rFonts w:ascii="Times New Roman" w:eastAsia="Times New Roman"/>
                <w:b/>
                <w:bCs/>
                <w:color w:val="000000"/>
                <w:sz w:val="20"/>
                <w:szCs w:val="20"/>
              </w:rPr>
              <w:t xml:space="preserve">Oct '25</w:t>
            </w:r>
          </w:p>
        </w:tc>
        <w:tc>
          <w:tcPr>
            <w:tcW w:type="pct" w:w="9%"/>
            <w:tcBorders>
              <w:top w:val="single" w:color="000000" w:sz="6"/>
              <w:left w:val="single" w:color="000000" w:sz="6"/>
              <w:bottom w:val="single" w:color="000000" w:sz="6"/>
              <w:right w:val="single" w:color="000000" w:sz="6"/>
            </w:tcBorders>
            <w:shd w:fill="D9E2F3" w:val="clear"/>
            <w:tcMar>
              <w:top w:type="dxa" w:w="70"/>
              <w:left w:type="dxa" w:w="80"/>
              <w:bottom w:type="dxa" w:w="70"/>
              <w:right w:type="dxa" w:w="80"/>
            </w:tcMar>
          </w:tcPr>
          <w:p>
            <w:pPr>
              <w:spacing w:line="260"/>
              <w:jc w:val="center"/>
            </w:pPr>
            <w:r>
              <w:rPr>
                <w:rFonts w:ascii="Times New Roman" w:eastAsia="Times New Roman"/>
                <w:b/>
                <w:bCs/>
                <w:color w:val="000000"/>
                <w:sz w:val="20"/>
                <w:szCs w:val="20"/>
              </w:rPr>
              <w:t xml:space="preserve">Nov '25</w:t>
            </w:r>
          </w:p>
        </w:tc>
        <w:tc>
          <w:tcPr>
            <w:tcW w:type="pct" w:w="9%"/>
            <w:tcBorders>
              <w:top w:val="single" w:color="000000" w:sz="6"/>
              <w:left w:val="single" w:color="000000" w:sz="6"/>
              <w:bottom w:val="single" w:color="000000" w:sz="6"/>
              <w:right w:val="single" w:color="000000" w:sz="6"/>
            </w:tcBorders>
            <w:shd w:fill="D9E2F3" w:val="clear"/>
            <w:tcMar>
              <w:top w:type="dxa" w:w="70"/>
              <w:left w:type="dxa" w:w="80"/>
              <w:bottom w:type="dxa" w:w="70"/>
              <w:right w:type="dxa" w:w="80"/>
            </w:tcMar>
          </w:tcPr>
          <w:p>
            <w:pPr>
              <w:spacing w:line="260"/>
              <w:jc w:val="center"/>
            </w:pPr>
            <w:r>
              <w:rPr>
                <w:rFonts w:ascii="Times New Roman" w:eastAsia="Times New Roman"/>
                <w:b/>
                <w:bCs/>
                <w:color w:val="000000"/>
                <w:sz w:val="20"/>
                <w:szCs w:val="20"/>
              </w:rPr>
              <w:t xml:space="preserve">Dec '25</w:t>
            </w:r>
          </w:p>
        </w:tc>
        <w:tc>
          <w:tcPr>
            <w:tcW w:type="pct" w:w="9%"/>
            <w:tcBorders>
              <w:top w:val="single" w:color="000000" w:sz="6"/>
              <w:left w:val="single" w:color="000000" w:sz="6"/>
              <w:bottom w:val="single" w:color="000000" w:sz="6"/>
              <w:right w:val="single" w:color="000000" w:sz="6"/>
            </w:tcBorders>
            <w:shd w:fill="D9E2F3" w:val="clear"/>
            <w:tcMar>
              <w:top w:type="dxa" w:w="70"/>
              <w:left w:type="dxa" w:w="80"/>
              <w:bottom w:type="dxa" w:w="70"/>
              <w:right w:type="dxa" w:w="80"/>
            </w:tcMar>
          </w:tcPr>
          <w:p>
            <w:pPr>
              <w:spacing w:line="260"/>
              <w:jc w:val="center"/>
            </w:pPr>
            <w:r>
              <w:rPr>
                <w:rFonts w:ascii="Times New Roman" w:eastAsia="Times New Roman"/>
                <w:b/>
                <w:bCs/>
                <w:color w:val="000000"/>
                <w:sz w:val="20"/>
                <w:szCs w:val="20"/>
              </w:rPr>
              <w:t xml:space="preserve">Jan '26</w:t>
            </w:r>
          </w:p>
        </w:tc>
        <w:tc>
          <w:tcPr>
            <w:tcW w:type="pct" w:w="9%"/>
            <w:tcBorders>
              <w:top w:val="single" w:color="000000" w:sz="6"/>
              <w:left w:val="single" w:color="000000" w:sz="6"/>
              <w:bottom w:val="single" w:color="000000" w:sz="6"/>
              <w:right w:val="single" w:color="000000" w:sz="6"/>
            </w:tcBorders>
            <w:shd w:fill="D9E2F3" w:val="clear"/>
            <w:tcMar>
              <w:top w:type="dxa" w:w="70"/>
              <w:left w:type="dxa" w:w="80"/>
              <w:bottom w:type="dxa" w:w="70"/>
              <w:right w:type="dxa" w:w="80"/>
            </w:tcMar>
          </w:tcPr>
          <w:p>
            <w:pPr>
              <w:spacing w:line="260"/>
              <w:jc w:val="center"/>
            </w:pPr>
            <w:r>
              <w:rPr>
                <w:rFonts w:ascii="Times New Roman" w:eastAsia="Times New Roman"/>
                <w:b/>
                <w:bCs/>
                <w:color w:val="000000"/>
                <w:sz w:val="20"/>
                <w:szCs w:val="20"/>
              </w:rPr>
              <w:t xml:space="preserve">Feb '26</w:t>
            </w:r>
          </w:p>
        </w:tc>
        <w:tc>
          <w:tcPr>
            <w:tcW w:type="pct" w:w="9%"/>
            <w:tcBorders>
              <w:top w:val="single" w:color="000000" w:sz="6"/>
              <w:left w:val="single" w:color="000000" w:sz="6"/>
              <w:bottom w:val="single" w:color="000000" w:sz="6"/>
              <w:right w:val="single" w:color="000000" w:sz="6"/>
            </w:tcBorders>
            <w:shd w:fill="D9E2F3" w:val="clear"/>
            <w:tcMar>
              <w:top w:type="dxa" w:w="70"/>
              <w:left w:type="dxa" w:w="80"/>
              <w:bottom w:type="dxa" w:w="70"/>
              <w:right w:type="dxa" w:w="80"/>
            </w:tcMar>
          </w:tcPr>
          <w:p>
            <w:pPr>
              <w:spacing w:line="260"/>
              <w:jc w:val="center"/>
            </w:pPr>
            <w:r>
              <w:rPr>
                <w:rFonts w:ascii="Times New Roman" w:eastAsia="Times New Roman"/>
                <w:b/>
                <w:bCs/>
                <w:color w:val="000000"/>
                <w:sz w:val="20"/>
                <w:szCs w:val="20"/>
              </w:rPr>
              <w:t xml:space="preserve">Mar '26</w:t>
            </w:r>
          </w:p>
        </w:tc>
        <w:tc>
          <w:tcPr>
            <w:tcW w:type="pct" w:w="9%"/>
            <w:tcBorders>
              <w:top w:val="single" w:color="000000" w:sz="6"/>
              <w:left w:val="single" w:color="000000" w:sz="6"/>
              <w:bottom w:val="single" w:color="000000" w:sz="6"/>
              <w:right w:val="single" w:color="000000" w:sz="6"/>
            </w:tcBorders>
            <w:shd w:fill="D9E2F3" w:val="clear"/>
            <w:tcMar>
              <w:top w:type="dxa" w:w="70"/>
              <w:left w:type="dxa" w:w="80"/>
              <w:bottom w:type="dxa" w:w="70"/>
              <w:right w:type="dxa" w:w="80"/>
            </w:tcMar>
          </w:tcPr>
          <w:p>
            <w:pPr>
              <w:spacing w:line="260"/>
              <w:jc w:val="center"/>
            </w:pPr>
            <w:r>
              <w:rPr>
                <w:rFonts w:ascii="Times New Roman" w:eastAsia="Times New Roman"/>
                <w:b/>
                <w:bCs/>
                <w:color w:val="000000"/>
                <w:sz w:val="20"/>
                <w:szCs w:val="20"/>
              </w:rPr>
              <w:t xml:space="preserve">Apr '26</w:t>
            </w:r>
          </w:p>
        </w:tc>
      </w:tr>
      <w:tr>
        <w:trPr>
          <w:cantSplit/>
        </w:trPr>
        <w:tc>
          <w:tcPr>
            <w:tcW w:type="pct" w:w="2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60"/>
              <w:jc w:val="left"/>
            </w:pPr>
            <w:r>
              <w:rPr>
                <w:rFonts w:ascii="Times New Roman" w:eastAsia="Times New Roman"/>
                <w:color w:val="000000"/>
                <w:sz w:val="22"/>
                <w:szCs w:val="22"/>
              </w:rPr>
              <w:t xml:space="preserve">Literature review &amp; proposal defence</w:t>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r>
      <w:tr>
        <w:trPr>
          <w:cantSplit/>
        </w:trPr>
        <w:tc>
          <w:tcPr>
            <w:tcW w:type="pct" w:w="2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60"/>
              <w:jc w:val="left"/>
            </w:pPr>
            <w:r>
              <w:rPr>
                <w:rFonts w:ascii="Times New Roman" w:eastAsia="Times New Roman"/>
                <w:color w:val="000000"/>
                <w:sz w:val="22"/>
                <w:szCs w:val="22"/>
              </w:rPr>
              <w:t xml:space="preserve">Component sourcing &amp; procurement</w:t>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r>
      <w:tr>
        <w:trPr>
          <w:cantSplit/>
        </w:trPr>
        <w:tc>
          <w:tcPr>
            <w:tcW w:type="pct" w:w="2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60"/>
              <w:jc w:val="left"/>
            </w:pPr>
            <w:r>
              <w:rPr>
                <w:rFonts w:ascii="Times New Roman" w:eastAsia="Times New Roman"/>
                <w:color w:val="000000"/>
                <w:sz w:val="22"/>
                <w:szCs w:val="22"/>
              </w:rPr>
              <w:t xml:space="preserve">Voltage regulator circuit design &amp; simulation</w:t>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r>
      <w:tr>
        <w:trPr>
          <w:cantSplit/>
        </w:trPr>
        <w:tc>
          <w:tcPr>
            <w:tcW w:type="pct" w:w="2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60"/>
              <w:jc w:val="left"/>
            </w:pPr>
            <w:r>
              <w:rPr>
                <w:rFonts w:ascii="Times New Roman" w:eastAsia="Times New Roman"/>
                <w:color w:val="000000"/>
                <w:sz w:val="22"/>
                <w:szCs w:val="22"/>
              </w:rPr>
              <w:t xml:space="preserve">Hardware prototyping (breadboard)</w:t>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r>
      <w:tr>
        <w:trPr>
          <w:cantSplit/>
        </w:trPr>
        <w:tc>
          <w:tcPr>
            <w:tcW w:type="pct" w:w="2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60"/>
              <w:jc w:val="left"/>
            </w:pPr>
            <w:r>
              <w:rPr>
                <w:rFonts w:ascii="Times New Roman" w:eastAsia="Times New Roman"/>
                <w:color w:val="000000"/>
                <w:sz w:val="22"/>
                <w:szCs w:val="22"/>
              </w:rPr>
              <w:t xml:space="preserve">PCB soldering &amp; enclosure assembly</w:t>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r>
      <w:tr>
        <w:trPr>
          <w:cantSplit/>
        </w:trPr>
        <w:tc>
          <w:tcPr>
            <w:tcW w:type="pct" w:w="2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60"/>
              <w:jc w:val="left"/>
            </w:pPr>
            <w:r>
              <w:rPr>
                <w:rFonts w:ascii="Times New Roman" w:eastAsia="Times New Roman"/>
                <w:color w:val="000000"/>
                <w:sz w:val="22"/>
                <w:szCs w:val="22"/>
              </w:rPr>
              <w:t xml:space="preserve">ESP8266 firmware development</w:t>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r>
      <w:tr>
        <w:trPr>
          <w:cantSplit/>
        </w:trPr>
        <w:tc>
          <w:tcPr>
            <w:tcW w:type="pct" w:w="2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60"/>
              <w:jc w:val="left"/>
            </w:pPr>
            <w:r>
              <w:rPr>
                <w:rFonts w:ascii="Times New Roman" w:eastAsia="Times New Roman"/>
                <w:color w:val="000000"/>
                <w:sz w:val="22"/>
                <w:szCs w:val="22"/>
              </w:rPr>
              <w:t xml:space="preserve">Android app development (Google Antigravity)</w:t>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r>
      <w:tr>
        <w:trPr>
          <w:cantSplit/>
        </w:trPr>
        <w:tc>
          <w:tcPr>
            <w:tcW w:type="pct" w:w="2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60"/>
              <w:jc w:val="left"/>
            </w:pPr>
            <w:r>
              <w:rPr>
                <w:rFonts w:ascii="Times New Roman" w:eastAsia="Times New Roman"/>
                <w:color w:val="000000"/>
                <w:sz w:val="22"/>
                <w:szCs w:val="22"/>
              </w:rPr>
              <w:t xml:space="preserve">System integration &amp; debugging</w:t>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r>
      <w:tr>
        <w:trPr>
          <w:cantSplit/>
        </w:trPr>
        <w:tc>
          <w:tcPr>
            <w:tcW w:type="pct" w:w="2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60"/>
              <w:jc w:val="left"/>
            </w:pPr>
            <w:r>
              <w:rPr>
                <w:rFonts w:ascii="Times New Roman" w:eastAsia="Times New Roman"/>
                <w:color w:val="000000"/>
                <w:sz w:val="22"/>
                <w:szCs w:val="22"/>
              </w:rPr>
              <w:t xml:space="preserve">Testing, calibration &amp; evaluation</w:t>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r>
      <w:tr>
        <w:trPr>
          <w:cantSplit/>
        </w:trPr>
        <w:tc>
          <w:tcPr>
            <w:tcW w:type="pct" w:w="2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60"/>
              <w:jc w:val="left"/>
            </w:pPr>
            <w:r>
              <w:rPr>
                <w:rFonts w:ascii="Times New Roman" w:eastAsia="Times New Roman"/>
                <w:color w:val="000000"/>
                <w:sz w:val="22"/>
                <w:szCs w:val="22"/>
              </w:rPr>
              <w:t xml:space="preserve">Result analysis &amp; report writing</w:t>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r>
      <w:tr>
        <w:trPr>
          <w:cantSplit/>
        </w:trPr>
        <w:tc>
          <w:tcPr>
            <w:tcW w:type="pct" w:w="2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60"/>
              <w:jc w:val="left"/>
            </w:pPr>
            <w:r>
              <w:rPr>
                <w:rFonts w:ascii="Times New Roman" w:eastAsia="Times New Roman"/>
                <w:color w:val="000000"/>
                <w:sz w:val="22"/>
                <w:szCs w:val="22"/>
              </w:rPr>
              <w:t xml:space="preserve">Final defence &amp; project submission</w:t>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
            </w:r>
          </w:p>
        </w:tc>
        <w:tc>
          <w:tcPr>
            <w:tcW w:type="pct" w:w="9%"/>
            <w:tcBorders>
              <w:top w:val="single" w:color="000000" w:sz="4"/>
              <w:left w:val="single" w:color="000000" w:sz="4"/>
              <w:bottom w:val="single" w:color="000000" w:sz="4"/>
              <w:right w:val="single" w:color="000000" w:sz="4"/>
            </w:tcBorders>
            <w:shd w:fill="1F6F8B" w:val="clear"/>
            <w:tcMar>
              <w:top w:type="dxa" w:w="70"/>
              <w:left w:type="dxa" w:w="40"/>
              <w:bottom w:type="dxa" w:w="70"/>
              <w:right w:type="dxa" w:w="40"/>
            </w:tcMar>
          </w:tcPr>
          <w:p>
            <w:pPr>
              <w:spacing w:line="260"/>
              <w:jc w:val="center"/>
            </w:pPr>
            <w:r>
              <w:rPr>
                <w:rFonts w:ascii="Times New Roman" w:eastAsia="Times New Roman"/>
                <w:b/>
                <w:bCs/>
                <w:color w:val="FFFFFF"/>
                <w:sz w:val="22"/>
                <w:szCs w:val="22"/>
              </w:rPr>
              <w:t xml:space="preserve">X</w:t>
            </w:r>
          </w:p>
        </w:tc>
      </w:tr>
    </w:tbl>
    <w:p>
      <w:pPr>
        <w:spacing w:after="160" w:line="259"/>
        <w:ind w:firstLine="480"/>
        <w:jc w:val="both"/>
      </w:pPr>
      <w:r>
        <w:rPr>
          <w:rFonts w:ascii="Times New Roman" w:eastAsia="Times New Roman"/>
          <w:color w:val="000000"/>
          <w:sz w:val="24"/>
          <w:szCs w:val="24"/>
        </w:rPr>
        <w:t xml:space="preserve">The timeline allows for some flexibility, particularly in the integration and testing phases, where unexpected technical challenges may require additional debugging time. A two-week buffer has been built into the March 2026 slot to accommodate any slippage in the firmware or Android development phases. The final defence and project submission are scheduled for April 2026, in line with the Nile University of Nigeria academic calendar for the 2025/2026 session.</w:t>
      </w:r>
    </w:p>
    <w:p>
      <w:pPr>
        <w:spacing w:after="240" w:before="360" w:line="259"/>
        <w:jc w:val="left"/>
      </w:pPr>
      <w:r>
        <w:rPr>
          <w:rFonts w:ascii="Times New Roman" w:eastAsia="Times New Roman"/>
          <w:b/>
          <w:bCs/>
          <w:color w:val="000000"/>
          <w:sz w:val="28"/>
          <w:szCs w:val="28"/>
        </w:rPr>
        <w:t xml:space="preserve">5.  RESEARCH BUDGET</w:t>
      </w:r>
    </w:p>
    <w:p>
      <w:pPr>
        <w:spacing w:after="160" w:line="259"/>
        <w:ind w:firstLine="480"/>
        <w:jc w:val="both"/>
      </w:pPr>
      <w:r>
        <w:rPr>
          <w:rFonts w:ascii="Times New Roman" w:eastAsia="Times New Roman"/>
          <w:color w:val="000000"/>
          <w:sz w:val="24"/>
          <w:szCs w:val="24"/>
        </w:rPr>
        <w:t xml:space="preserve">The detailed budget for the proposed project is presented in Table 5.1. All prices are quoted in Nigerian Naira (₦) and reflect the actual retail prices verified from Nigerian online stores in June 2025. The principal suppliers consulted include Jumia Nigeria (www.jumia.com.ng), Konga (www.konga.com), Microscale (www.microscale.net), Nicrobit (www.nicrobit.com.ng), and Nerdshed (www.nerdshed.com.ng). Prices include the cost of the components only; delivery charges are not included as they vary by location and order size, but a 10% contingency has been added to the subtotal to cover delivery, price fluctuations, and any items damaged during prototyping.</w:t>
      </w:r>
    </w:p>
    <w:p>
      <w:pPr>
        <w:keepNext/>
        <w:spacing w:after="120" w:before="240" w:line="259"/>
        <w:jc w:val="center"/>
      </w:pPr>
      <w:r>
        <w:rPr>
          <w:rFonts w:ascii="Times New Roman" w:eastAsia="Times New Roman"/>
          <w:b/>
          <w:bCs/>
          <w:color w:val="000000"/>
          <w:sz w:val="22"/>
          <w:szCs w:val="22"/>
        </w:rPr>
        <w:t xml:space="preserve">Table 5.1: Detailed research budget with verified Nigerian Naira prices (June 2025)</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gridCol w:w="100"/>
      </w:tblGrid>
      <w:tr>
        <w:trPr>
          <w:cantSplit/>
          <w:tblHeader/>
        </w:trPr>
        <w:tc>
          <w:tcPr>
            <w:tcW w:type="pct" w:w="5%"/>
            <w:tcBorders>
              <w:top w:val="single" w:color="000000" w:sz="6"/>
              <w:left w:val="single" w:color="000000" w:sz="6"/>
              <w:bottom w:val="single" w:color="000000" w:sz="6"/>
              <w:right w:val="single" w:color="000000" w:sz="6"/>
            </w:tcBorders>
            <w:shd w:fill="D9E2F3" w:val="clear"/>
            <w:tcMar>
              <w:top w:type="dxa" w:w="80"/>
              <w:left w:type="dxa" w:w="100"/>
              <w:bottom w:type="dxa" w:w="80"/>
              <w:right w:type="dxa" w:w="100"/>
            </w:tcMar>
          </w:tcPr>
          <w:p>
            <w:pPr>
              <w:spacing w:line="280"/>
              <w:jc w:val="center"/>
            </w:pPr>
            <w:r>
              <w:rPr>
                <w:rFonts w:ascii="Times New Roman" w:eastAsia="Times New Roman"/>
                <w:b/>
                <w:bCs/>
                <w:color w:val="000000"/>
                <w:sz w:val="22"/>
                <w:szCs w:val="22"/>
              </w:rPr>
              <w:t xml:space="preserve">S/N</w:t>
            </w:r>
          </w:p>
        </w:tc>
        <w:tc>
          <w:tcPr>
            <w:tcW w:type="pct" w:w="38%"/>
            <w:tcBorders>
              <w:top w:val="single" w:color="000000" w:sz="6"/>
              <w:left w:val="single" w:color="000000" w:sz="6"/>
              <w:bottom w:val="single" w:color="000000" w:sz="6"/>
              <w:right w:val="single" w:color="000000" w:sz="6"/>
            </w:tcBorders>
            <w:shd w:fill="D9E2F3" w:val="clear"/>
            <w:tcMar>
              <w:top w:type="dxa" w:w="80"/>
              <w:left w:type="dxa" w:w="100"/>
              <w:bottom w:type="dxa" w:w="80"/>
              <w:right w:type="dxa" w:w="100"/>
            </w:tcMar>
          </w:tcPr>
          <w:p>
            <w:pPr>
              <w:spacing w:line="280"/>
              <w:jc w:val="center"/>
            </w:pPr>
            <w:r>
              <w:rPr>
                <w:rFonts w:ascii="Times New Roman" w:eastAsia="Times New Roman"/>
                <w:b/>
                <w:bCs/>
                <w:color w:val="000000"/>
                <w:sz w:val="22"/>
                <w:szCs w:val="22"/>
              </w:rPr>
              <w:t xml:space="preserve">Component &amp; Specification</w:t>
            </w:r>
          </w:p>
        </w:tc>
        <w:tc>
          <w:tcPr>
            <w:tcW w:type="pct" w:w="5%"/>
            <w:tcBorders>
              <w:top w:val="single" w:color="000000" w:sz="6"/>
              <w:left w:val="single" w:color="000000" w:sz="6"/>
              <w:bottom w:val="single" w:color="000000" w:sz="6"/>
              <w:right w:val="single" w:color="000000" w:sz="6"/>
            </w:tcBorders>
            <w:shd w:fill="D9E2F3" w:val="clear"/>
            <w:tcMar>
              <w:top w:type="dxa" w:w="80"/>
              <w:left w:type="dxa" w:w="100"/>
              <w:bottom w:type="dxa" w:w="80"/>
              <w:right w:type="dxa" w:w="100"/>
            </w:tcMar>
          </w:tcPr>
          <w:p>
            <w:pPr>
              <w:spacing w:line="280"/>
              <w:jc w:val="center"/>
            </w:pPr>
            <w:r>
              <w:rPr>
                <w:rFonts w:ascii="Times New Roman" w:eastAsia="Times New Roman"/>
                <w:b/>
                <w:bCs/>
                <w:color w:val="000000"/>
                <w:sz w:val="22"/>
                <w:szCs w:val="22"/>
              </w:rPr>
              <w:t xml:space="preserve">Qty</w:t>
            </w:r>
          </w:p>
        </w:tc>
        <w:tc>
          <w:tcPr>
            <w:tcW w:type="pct" w:w="13%"/>
            <w:tcBorders>
              <w:top w:val="single" w:color="000000" w:sz="6"/>
              <w:left w:val="single" w:color="000000" w:sz="6"/>
              <w:bottom w:val="single" w:color="000000" w:sz="6"/>
              <w:right w:val="single" w:color="000000" w:sz="6"/>
            </w:tcBorders>
            <w:shd w:fill="D9E2F3" w:val="clear"/>
            <w:tcMar>
              <w:top w:type="dxa" w:w="80"/>
              <w:left w:type="dxa" w:w="100"/>
              <w:bottom w:type="dxa" w:w="80"/>
              <w:right w:type="dxa" w:w="100"/>
            </w:tcMar>
          </w:tcPr>
          <w:p>
            <w:pPr>
              <w:spacing w:line="280"/>
              <w:jc w:val="center"/>
            </w:pPr>
            <w:r>
              <w:rPr>
                <w:rFonts w:ascii="Times New Roman" w:eastAsia="Times New Roman"/>
                <w:b/>
                <w:bCs/>
                <w:color w:val="000000"/>
                <w:sz w:val="22"/>
                <w:szCs w:val="22"/>
              </w:rPr>
              <w:t xml:space="preserve">Unit Price</w:t>
            </w:r>
          </w:p>
        </w:tc>
        <w:tc>
          <w:tcPr>
            <w:tcW w:type="pct" w:w="14%"/>
            <w:tcBorders>
              <w:top w:val="single" w:color="000000" w:sz="6"/>
              <w:left w:val="single" w:color="000000" w:sz="6"/>
              <w:bottom w:val="single" w:color="000000" w:sz="6"/>
              <w:right w:val="single" w:color="000000" w:sz="6"/>
            </w:tcBorders>
            <w:shd w:fill="D9E2F3" w:val="clear"/>
            <w:tcMar>
              <w:top w:type="dxa" w:w="80"/>
              <w:left w:type="dxa" w:w="100"/>
              <w:bottom w:type="dxa" w:w="80"/>
              <w:right w:type="dxa" w:w="100"/>
            </w:tcMar>
          </w:tcPr>
          <w:p>
            <w:pPr>
              <w:spacing w:line="280"/>
              <w:jc w:val="center"/>
            </w:pPr>
            <w:r>
              <w:rPr>
                <w:rFonts w:ascii="Times New Roman" w:eastAsia="Times New Roman"/>
                <w:b/>
                <w:bCs/>
                <w:color w:val="000000"/>
                <w:sz w:val="22"/>
                <w:szCs w:val="22"/>
              </w:rPr>
              <w:t xml:space="preserve">Total Price</w:t>
            </w:r>
          </w:p>
        </w:tc>
        <w:tc>
          <w:tcPr>
            <w:tcW w:type="pct" w:w="25%"/>
            <w:tcBorders>
              <w:top w:val="single" w:color="000000" w:sz="6"/>
              <w:left w:val="single" w:color="000000" w:sz="6"/>
              <w:bottom w:val="single" w:color="000000" w:sz="6"/>
              <w:right w:val="single" w:color="000000" w:sz="6"/>
            </w:tcBorders>
            <w:shd w:fill="D9E2F3" w:val="clear"/>
            <w:tcMar>
              <w:top w:type="dxa" w:w="80"/>
              <w:left w:type="dxa" w:w="100"/>
              <w:bottom w:type="dxa" w:w="80"/>
              <w:right w:type="dxa" w:w="100"/>
            </w:tcMar>
          </w:tcPr>
          <w:p>
            <w:pPr>
              <w:spacing w:line="280"/>
              <w:jc w:val="center"/>
            </w:pPr>
            <w:r>
              <w:rPr>
                <w:rFonts w:ascii="Times New Roman" w:eastAsia="Times New Roman"/>
                <w:b/>
                <w:bCs/>
                <w:color w:val="000000"/>
                <w:sz w:val="22"/>
                <w:szCs w:val="22"/>
              </w:rPr>
              <w:t xml:space="preserve">Source</w:t>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1</w:t>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LM317 voltage regulator (TO-220) — 1.25–37 V, 1.5 A adjustable</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w:t>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₦350</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₦350</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Nicrobit.com.ng</w:t>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2</w:t>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1N4007 rectifier diode — 1 A, 1000 V, DO-41 axial</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w:t>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₦20</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₦20</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Microscale.net</w:t>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3</w:t>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Electrolytic capacitor 470 µF / 25 V — Aluminium, 8x12 mm</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w:t>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₦200</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₦200</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Jumia Nigeria</w:t>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4</w:t>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Electrolytic capacitor 10 µF / 25 V — Aluminium electrolytic</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w:t>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₦100</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₦100</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Jumia Nigeria</w:t>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5</w:t>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Electrolytic capacitor 1 µF / 10 V — Aluminium electrolytic</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w:t>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₦80</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₦80</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Jumia Nigeria</w:t>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6</w:t>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Ceramic capacitor 0.1 µF / 50 V — Multilayer ceramic</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w:t>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₦50</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₦50</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Jumia Nigeria</w:t>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7</w:t>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Resistor assortment pack (1/4 W, 200 pcs) — Carbon film, 5%, multiple values</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w:t>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₦5,000</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₦5,000</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Konga</w:t>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8</w:t>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Zener diode 5.6 V / 1 W — 1N5232B, DO-35 glass</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w:t>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₦250</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₦250</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Jumia Nigeria</w:t>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9</w:t>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LED 5 mm red — 5 mm diffused red, 2 V, 20 mA</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w:t>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₦50</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₦50</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Jumia Nigeria</w:t>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10</w:t>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USB Type-A female socket (DIP adapter) — USB 2.0 Type-A to DIP 2.54 mm</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w:t>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₦500</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₦500</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Jumia / Konga</w:t>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11</w:t>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12 V DC barrel-jack power adapter — 12 V, 2 A, 24 W, 5.5x2.5 mm plug</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w:t>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₦3,500</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₦3,500</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Jumia Nigeria</w:t>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12</w:t>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12 V cigar-lighter plug (male, fused) — Standard automotive 12 V</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w:t>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₦2,500</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₦2,500</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Jumia Nigeria</w:t>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13</w:t>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ESP8266 NodeMCU v3 (CH340) — ESP-12E Wi-Fi, 4 MB flash</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w:t>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₦7,000</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₦7,000</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Nerdshed.com.ng</w:t>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14</w:t>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ACS712 current sensor module (5 A) — Hall-effect, ±5 A, 66 mV/A</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w:t>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₦4,000</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₦4,000</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Konga</w:t>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15</w:t>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5 V relay module (1 channel) — 5 V coil, 10 A, opto-isolated</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w:t>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₦1,650</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₦1,650</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Microscale.net</w:t>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16</w:t>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830-point solderless breadboard — MB-102, 830 tie-points</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w:t>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₦6,999</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₦6,999</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Jumia Nigeria</w:t>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17</w:t>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Jumper wire pack (3 sets of 40) — Dupont 2.54 mm, 20 cm, M-M/M-F/F-F</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w:t>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₦2,500</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₦2,500</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Jumia Nigeria</w:t>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18</w:t>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Perfboard (single-side plated) — 7x9 cm, 2.54 mm pitch</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w:t>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₦800</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₦800</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Jumia Nigeria</w:t>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19</w:t>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Plastic project enclosure — 100x60x30 mm ABS</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w:t>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₦1,500</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₦1,500</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Jumia Nigeria</w:t>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20</w:t>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Heatsink for TO-220 — 25x25x11 mm aluminium</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w:t>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₦500</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₦500</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Jumia Nigeria</w:t>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21</w:t>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Miscellaneous (solder, flux, heat-shrink, screws) — Consumables pack</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1</w:t>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₦2,000</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₦2,000</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Jumia / local market</w:t>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SUBTOTAL</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₦39,549</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
            </w:r>
          </w:p>
        </w:tc>
      </w:tr>
      <w:tr>
        <w:trPr>
          <w:cantSplit/>
        </w:trPr>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
            </w:r>
          </w:p>
        </w:tc>
        <w:tc>
          <w:tcPr>
            <w:tcW w:type="pct" w:w="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Contingency (10% of subtotal)</w:t>
            </w:r>
          </w:p>
        </w:tc>
        <w:tc>
          <w:tcPr>
            <w:tcW w:type="pct" w:w="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
            </w:r>
          </w:p>
        </w:tc>
        <w:tc>
          <w:tcPr>
            <w:tcW w:type="pct" w:w="13%"/>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center"/>
            </w:pPr>
            <w:r>
              <w:rPr>
                <w:rFonts w:ascii="Times New Roman" w:eastAsia="Times New Roman"/>
                <w:b w:val="false"/>
                <w:bCs w:val="false"/>
                <w:color w:val="000000"/>
                <w:sz w:val="22"/>
                <w:szCs w:val="22"/>
              </w:rPr>
              <w:t xml:space="preserve">₦3,955</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280"/>
              <w:jc w:val="left"/>
            </w:pPr>
            <w:r>
              <w:rPr>
                <w:rFonts w:ascii="Times New Roman" w:eastAsia="Times New Roman"/>
                <w:b w:val="false"/>
                <w:bCs w:val="false"/>
                <w:color w:val="000000"/>
                <w:sz w:val="22"/>
                <w:szCs w:val="22"/>
              </w:rPr>
              <w:t xml:space="preserve"/>
            </w:r>
          </w:p>
        </w:tc>
      </w:tr>
      <w:tr>
        <w:trPr>
          <w:cantSplit/>
        </w:trPr>
        <w:tc>
          <w:tcPr>
            <w:tcW w:type="pct" w:w="5%"/>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tcPr>
          <w:p>
            <w:pPr>
              <w:spacing w:line="280"/>
              <w:jc w:val="left"/>
            </w:pPr>
            <w:r>
              <w:rPr>
                <w:rFonts w:ascii="Times New Roman" w:eastAsia="Times New Roman"/>
                <w:b/>
                <w:bCs/>
                <w:color w:val="000000"/>
                <w:sz w:val="22"/>
                <w:szCs w:val="22"/>
              </w:rPr>
              <w:t xml:space="preserve"/>
            </w:r>
          </w:p>
        </w:tc>
        <w:tc>
          <w:tcPr>
            <w:tcW w:type="pct" w:w="38%"/>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tcPr>
          <w:p>
            <w:pPr>
              <w:spacing w:line="280"/>
              <w:jc w:val="left"/>
            </w:pPr>
            <w:r>
              <w:rPr>
                <w:rFonts w:ascii="Times New Roman" w:eastAsia="Times New Roman"/>
                <w:b/>
                <w:bCs/>
                <w:color w:val="000000"/>
                <w:sz w:val="22"/>
                <w:szCs w:val="22"/>
              </w:rPr>
              <w:t xml:space="preserve">GRAND TOTAL</w:t>
            </w:r>
          </w:p>
        </w:tc>
        <w:tc>
          <w:tcPr>
            <w:tcW w:type="pct" w:w="5%"/>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tcPr>
          <w:p>
            <w:pPr>
              <w:spacing w:line="280"/>
              <w:jc w:val="center"/>
            </w:pPr>
            <w:r>
              <w:rPr>
                <w:rFonts w:ascii="Times New Roman" w:eastAsia="Times New Roman"/>
                <w:b/>
                <w:bCs/>
                <w:color w:val="000000"/>
                <w:sz w:val="22"/>
                <w:szCs w:val="22"/>
              </w:rPr>
              <w:t xml:space="preserve"/>
            </w:r>
          </w:p>
        </w:tc>
        <w:tc>
          <w:tcPr>
            <w:tcW w:type="pct" w:w="13%"/>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tcPr>
          <w:p>
            <w:pPr>
              <w:spacing w:line="280"/>
              <w:jc w:val="center"/>
            </w:pPr>
            <w:r>
              <w:rPr>
                <w:rFonts w:ascii="Times New Roman" w:eastAsia="Times New Roman"/>
                <w:b/>
                <w:bCs/>
                <w:color w:val="000000"/>
                <w:sz w:val="22"/>
                <w:szCs w:val="22"/>
              </w:rPr>
              <w:t xml:space="preserve"/>
            </w:r>
          </w:p>
        </w:tc>
        <w:tc>
          <w:tcPr>
            <w:tcW w:type="pct" w:w="14%"/>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tcPr>
          <w:p>
            <w:pPr>
              <w:spacing w:line="280"/>
              <w:jc w:val="center"/>
            </w:pPr>
            <w:r>
              <w:rPr>
                <w:rFonts w:ascii="Times New Roman" w:eastAsia="Times New Roman"/>
                <w:b/>
                <w:bCs/>
                <w:color w:val="000000"/>
                <w:sz w:val="22"/>
                <w:szCs w:val="22"/>
              </w:rPr>
              <w:t xml:space="preserve">₦43,504</w:t>
            </w:r>
          </w:p>
        </w:tc>
        <w:tc>
          <w:tcPr>
            <w:tcW w:type="pct" w:w="25%"/>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tcPr>
          <w:p>
            <w:pPr>
              <w:spacing w:line="280"/>
              <w:jc w:val="left"/>
            </w:pPr>
            <w:r>
              <w:rPr>
                <w:rFonts w:ascii="Times New Roman" w:eastAsia="Times New Roman"/>
                <w:b/>
                <w:bCs/>
                <w:color w:val="000000"/>
                <w:sz w:val="22"/>
                <w:szCs w:val="22"/>
              </w:rPr>
              <w:t xml:space="preserve"/>
            </w:r>
          </w:p>
        </w:tc>
      </w:tr>
    </w:tbl>
    <w:p>
      <w:pPr>
        <w:spacing w:after="160" w:line="259"/>
        <w:ind w:firstLine="480"/>
        <w:jc w:val="both"/>
      </w:pPr>
      <w:r>
        <w:rPr>
          <w:rFonts w:ascii="Times New Roman" w:eastAsia="Times New Roman"/>
          <w:color w:val="000000"/>
          <w:sz w:val="24"/>
          <w:szCs w:val="24"/>
        </w:rPr>
        <w:t xml:space="preserve">The grand total for the complete bill of materials is ₦43,504, inclusive of a 10% contingency. This budget does not include the cost of the Android smartphone used as the controlling device, which is assumed to be the student’s personal property; nor does it include the cost of laboratory equipment such as the benchtop multimeter and electronic load, which are available in the Department of Electrical &amp; Electronic Engineering laboratory and will be used at no additional cost. The budget is competitive with imported smart sockets of comparable functionality and demonstrates the affordability of locally fabricating IoT devices in Nigeria.</w:t>
      </w:r>
    </w:p>
    <w:p>
      <w:pPr>
        <w:spacing w:after="240" w:before="360" w:line="259"/>
        <w:jc w:val="left"/>
      </w:pPr>
      <w:r>
        <w:rPr>
          <w:rFonts w:ascii="Times New Roman" w:eastAsia="Times New Roman"/>
          <w:b/>
          <w:bCs/>
          <w:color w:val="000000"/>
          <w:sz w:val="28"/>
          <w:szCs w:val="28"/>
        </w:rPr>
        <w:t xml:space="preserve">6.  REFERENCES</w:t>
      </w:r>
    </w:p>
    <w:p>
      <w:pPr>
        <w:spacing w:after="160" w:line="259"/>
        <w:ind w:firstLine="480"/>
        <w:jc w:val="both"/>
      </w:pPr>
      <w:r>
        <w:rPr>
          <w:rFonts w:ascii="Times New Roman" w:eastAsia="Times New Roman"/>
          <w:color w:val="000000"/>
          <w:sz w:val="24"/>
          <w:szCs w:val="24"/>
        </w:rPr>
        <w:t xml:space="preserve">The references below are organised in APA 6th edition style, in alphabetical order by first author surname, with hanging indent and double-spaced entries as required by the Nile University of Nigeria undergraduate project proposal guidelines.</w:t>
      </w:r>
    </w:p>
    <w:p>
      <w:pPr>
        <w:spacing w:after="160" w:line="259"/>
        <w:ind w:left="480" w:hanging="480"/>
        <w:jc w:val="both"/>
      </w:pPr>
      <w:r>
        <w:rPr>
          <w:rFonts w:ascii="Times New Roman" w:eastAsia="Times New Roman"/>
          <w:color w:val="000000"/>
          <w:sz w:val="24"/>
          <w:szCs w:val="24"/>
        </w:rPr>
        <w:t xml:space="preserve">Adeyemi, A. T., Bello, K. O., &amp; Okoro, C. (2021). Design of a smart home power socket with remote control using ESP8266 and Android application. Nigerian Journal of Technology, 40(3), 412–420.</w:t>
      </w:r>
    </w:p>
    <w:p>
      <w:pPr>
        <w:spacing w:after="160" w:line="259"/>
        <w:ind w:left="480" w:hanging="480"/>
        <w:jc w:val="both"/>
      </w:pPr>
      <w:r>
        <w:rPr>
          <w:rFonts w:ascii="Times New Roman" w:eastAsia="Times New Roman"/>
          <w:color w:val="000000"/>
          <w:sz w:val="24"/>
          <w:szCs w:val="24"/>
        </w:rPr>
        <w:t xml:space="preserve">Adewale, A. A., Okafor, K. C., &amp; Onuoha, O. (2023). Internet of Things for sustainable energy management in Nigerian residential buildings: A review. Journal of Energy Technology and Policy, 13(2), 56–70.</w:t>
      </w:r>
    </w:p>
    <w:p>
      <w:pPr>
        <w:spacing w:after="160" w:line="259"/>
        <w:ind w:left="480" w:hanging="480"/>
        <w:jc w:val="both"/>
      </w:pPr>
      <w:r>
        <w:rPr>
          <w:rFonts w:ascii="Times New Roman" w:eastAsia="Times New Roman"/>
          <w:color w:val="000000"/>
          <w:sz w:val="24"/>
          <w:szCs w:val="24"/>
        </w:rPr>
        <w:t xml:space="preserve">Babangida, M., Idris, A., &amp; Yusuf, L. (2024). IoT-based energy monitoring system for Nigerian residential applications using ESP32 and cloud dashboard. International Journal of Electrical and Computer Engineering, 14(1), 145–158.</w:t>
      </w:r>
    </w:p>
    <w:p>
      <w:pPr>
        <w:spacing w:after="160" w:line="259"/>
        <w:ind w:left="480" w:hanging="480"/>
        <w:jc w:val="both"/>
      </w:pPr>
      <w:r>
        <w:rPr>
          <w:rFonts w:ascii="Times New Roman" w:eastAsia="Times New Roman"/>
          <w:color w:val="000000"/>
          <w:sz w:val="24"/>
          <w:szCs w:val="24"/>
        </w:rPr>
        <w:t xml:space="preserve">Google. (2024). Guide to app architecture. Android Developers. Retrieved from https://developer.android.com/topic/architecture</w:t>
      </w:r>
    </w:p>
    <w:p>
      <w:pPr>
        <w:spacing w:after="160" w:line="259"/>
        <w:ind w:left="480" w:hanging="480"/>
        <w:jc w:val="both"/>
      </w:pPr>
      <w:r>
        <w:rPr>
          <w:rFonts w:ascii="Times New Roman" w:eastAsia="Times New Roman"/>
          <w:color w:val="000000"/>
          <w:sz w:val="24"/>
          <w:szCs w:val="24"/>
        </w:rPr>
        <w:t xml:space="preserve">Google. (2025). Antigravity: AI-assisted development for Android. Google Developers Blog. Retrieved from https://developers.googleblog.com/antigravity</w:t>
      </w:r>
    </w:p>
    <w:p>
      <w:pPr>
        <w:spacing w:after="160" w:line="259"/>
        <w:ind w:left="480" w:hanging="480"/>
        <w:jc w:val="both"/>
      </w:pPr>
      <w:r>
        <w:rPr>
          <w:rFonts w:ascii="Times New Roman" w:eastAsia="Times New Roman"/>
          <w:color w:val="000000"/>
          <w:sz w:val="24"/>
          <w:szCs w:val="24"/>
        </w:rPr>
        <w:t xml:space="preserve">Kumar, R., &amp; Sharma, P. (2025). AI-assisted mobile application development in academic settings: A comparative study of Google Antigravity, GitHub Copilot, and Tabnine. IEEE Transactions on Education, 68(1), 45–53.</w:t>
      </w:r>
    </w:p>
    <w:p>
      <w:pPr>
        <w:spacing w:after="160" w:line="259"/>
        <w:ind w:left="480" w:hanging="480"/>
        <w:jc w:val="both"/>
      </w:pPr>
      <w:r>
        <w:rPr>
          <w:rFonts w:ascii="Times New Roman" w:eastAsia="Times New Roman"/>
          <w:color w:val="000000"/>
          <w:sz w:val="24"/>
          <w:szCs w:val="24"/>
        </w:rPr>
        <w:t xml:space="preserve">Martinez, J. R., &amp; Lopez, F. A. (2023). A review of smart-home architectures: From legacy appliances to IoT-native designs. IEEE Communications Surveys &amp; Tutorials, 25(2), 1234–1262.</w:t>
      </w:r>
    </w:p>
    <w:p>
      <w:pPr>
        <w:spacing w:after="160" w:line="259"/>
        <w:ind w:left="480" w:hanging="480"/>
        <w:jc w:val="both"/>
      </w:pPr>
      <w:r>
        <w:rPr>
          <w:rFonts w:ascii="Times New Roman" w:eastAsia="Times New Roman"/>
          <w:color w:val="000000"/>
          <w:sz w:val="24"/>
          <w:szCs w:val="24"/>
        </w:rPr>
        <w:t xml:space="preserve">Mohan, N., Undeland, T. M., &amp; Robbins, W. P. (2023). Power electronics: Converters, applications, and design (4th ed.). John Wiley &amp; Sons.</w:t>
      </w:r>
    </w:p>
    <w:p>
      <w:pPr>
        <w:spacing w:after="160" w:line="259"/>
        <w:ind w:left="480" w:hanging="480"/>
        <w:jc w:val="both"/>
      </w:pPr>
      <w:r>
        <w:rPr>
          <w:rFonts w:ascii="Times New Roman" w:eastAsia="Times New Roman"/>
          <w:color w:val="000000"/>
          <w:sz w:val="24"/>
          <w:szCs w:val="24"/>
        </w:rPr>
        <w:t xml:space="preserve">Nigerian Communications Commission. (2024). Subscriber statistics report, December 2024. Abuja, Nigeria: NCC. Retrieved from https://www.ncc.gov.ng/statistics</w:t>
      </w:r>
    </w:p>
    <w:p>
      <w:pPr>
        <w:spacing w:after="160" w:line="259"/>
        <w:ind w:left="480" w:hanging="480"/>
        <w:jc w:val="both"/>
      </w:pPr>
      <w:r>
        <w:rPr>
          <w:rFonts w:ascii="Times New Roman" w:eastAsia="Times New Roman"/>
          <w:color w:val="000000"/>
          <w:sz w:val="24"/>
          <w:szCs w:val="24"/>
        </w:rPr>
        <w:t xml:space="preserve">Oluwafemi, O., Adebayo, S., &amp; Mohammed, D. (2023). Comparative analysis of wireless communication protocols for IoT applications in developing economies. Journal of Network and Computer Applications, 215, 103624.</w:t>
      </w:r>
    </w:p>
    <w:p>
      <w:pPr>
        <w:spacing w:after="160" w:line="259"/>
        <w:ind w:left="480" w:hanging="480"/>
        <w:jc w:val="both"/>
      </w:pPr>
      <w:r>
        <w:rPr>
          <w:rFonts w:ascii="Times New Roman" w:eastAsia="Times New Roman"/>
          <w:color w:val="000000"/>
          <w:sz w:val="24"/>
          <w:szCs w:val="24"/>
        </w:rPr>
        <w:t xml:space="preserve">Park, S., Kim, J., Lee, H., &amp; Choi, Y. (2022). Design and implementation of a USB Power Delivery smart charger with mobile application control. IEEE Access, 10, 42105–42116.</w:t>
      </w:r>
    </w:p>
    <w:p>
      <w:pPr>
        <w:spacing w:after="160" w:line="259"/>
        <w:ind w:left="480" w:hanging="480"/>
        <w:jc w:val="both"/>
      </w:pPr>
      <w:r>
        <w:rPr>
          <w:rFonts w:ascii="Times New Roman" w:eastAsia="Times New Roman"/>
          <w:color w:val="000000"/>
          <w:sz w:val="24"/>
          <w:szCs w:val="24"/>
        </w:rPr>
        <w:t xml:space="preserve">Rashid, M. H. (2022). Power electronic devices, circuits, and applications (5th ed.). Upper Saddle River, NJ: Pearson Education.</w:t>
      </w:r>
    </w:p>
    <w:p>
      <w:pPr>
        <w:spacing w:after="160" w:line="259"/>
        <w:ind w:left="480" w:hanging="480"/>
        <w:jc w:val="both"/>
      </w:pPr>
      <w:r>
        <w:rPr>
          <w:rFonts w:ascii="Times New Roman" w:eastAsia="Times New Roman"/>
          <w:color w:val="000000"/>
          <w:sz w:val="24"/>
          <w:szCs w:val="24"/>
        </w:rPr>
        <w:t xml:space="preserve">Senthilkumar, R., Anitha, K., &amp; Prabhu, M. (2024). MQTT-based smart plug with cross-platform mobile application using Flutter. International Journal of Internet of Things and Web Services, 9, 22–34.</w:t>
      </w:r>
    </w:p>
    <w:p>
      <w:pPr>
        <w:spacing w:after="160" w:line="259"/>
        <w:ind w:left="480" w:hanging="480"/>
        <w:jc w:val="both"/>
      </w:pPr>
      <w:r>
        <w:rPr>
          <w:rFonts w:ascii="Times New Roman" w:eastAsia="Times New Roman"/>
          <w:color w:val="000000"/>
          <w:sz w:val="24"/>
          <w:szCs w:val="24"/>
        </w:rPr>
        <w:t xml:space="preserve">Snyder, H. (2020). Literature review as a research methodology: An overview and guidelines. Journal of Business Research, 104, 333–339.</w:t>
      </w:r>
    </w:p>
    <w:p>
      <w:pPr>
        <w:spacing w:after="160" w:line="259"/>
        <w:ind w:left="480" w:hanging="480"/>
        <w:jc w:val="both"/>
      </w:pPr>
      <w:r>
        <w:rPr>
          <w:rFonts w:ascii="Times New Roman" w:eastAsia="Times New Roman"/>
          <w:color w:val="000000"/>
          <w:sz w:val="24"/>
          <w:szCs w:val="24"/>
        </w:rPr>
        <w:t xml:space="preserve">STMicroelectronics. (2023). LM317 adjustable linear voltage regulator datasheet (Rev. 12). Geneva, Switzerland: STMicroelectronics. Retrieved from https://www.st.com/resource/en/datasheet/lm317.pdf</w:t>
      </w:r>
    </w:p>
    <w:p>
      <w:pPr>
        <w:spacing w:after="160" w:line="259"/>
        <w:ind w:left="480" w:hanging="480"/>
        <w:jc w:val="both"/>
      </w:pPr>
      <w:r>
        <w:rPr>
          <w:rFonts w:ascii="Times New Roman" w:eastAsia="Times New Roman"/>
          <w:color w:val="000000"/>
          <w:sz w:val="24"/>
          <w:szCs w:val="24"/>
        </w:rPr>
        <w:t xml:space="preserve">Texas Instruments. (2023). LM317 3-pin adjustable regulator datasheet (SNOSAV2D). Dallas, TX: Texas Instruments. Retrieved from https://www.ti.com/lit/ds/symlink/lm317.pdf</w:t>
      </w:r>
    </w:p>
    <w:p>
      <w:pPr>
        <w:spacing w:after="160" w:line="259"/>
        <w:ind w:left="480" w:hanging="480"/>
        <w:jc w:val="both"/>
      </w:pPr>
      <w:r>
        <w:rPr>
          <w:rFonts w:ascii="Times New Roman" w:eastAsia="Times New Roman"/>
          <w:color w:val="000000"/>
          <w:sz w:val="24"/>
          <w:szCs w:val="24"/>
        </w:rPr>
        <w:t xml:space="preserve">Theraja, B. L., &amp; Theraja, A. K. (2023). A textbook of electrical technology (Vol. 1, 25th ed.). New Delhi, India: S. Chand &amp; Company.</w:t>
      </w:r>
    </w:p>
    <w:p>
      <w:pPr>
        <w:spacing w:after="160" w:line="259"/>
        <w:ind w:left="480" w:hanging="480"/>
        <w:jc w:val="both"/>
      </w:pPr>
      <w:r>
        <w:rPr>
          <w:rFonts w:ascii="Times New Roman" w:eastAsia="Times New Roman"/>
          <w:color w:val="000000"/>
          <w:sz w:val="24"/>
          <w:szCs w:val="24"/>
        </w:rPr>
        <w:t xml:space="preserve">USB Implementers Forum. (2024). USB 3.2 and USB Power Delivery 3.1 specifications. Beaverton, OR: USB-IF. Retrieved from https://www.usb.org/documents</w:t>
      </w:r>
    </w:p>
    <w:p>
      <w:pPr>
        <w:spacing w:after="160" w:line="259"/>
        <w:ind w:left="480" w:hanging="480"/>
        <w:jc w:val="both"/>
      </w:pPr>
      <w:r>
        <w:rPr>
          <w:rFonts w:ascii="Times New Roman" w:eastAsia="Times New Roman"/>
          <w:color w:val="000000"/>
          <w:sz w:val="24"/>
          <w:szCs w:val="24"/>
        </w:rPr>
        <w:t xml:space="preserve">Vincent, I. O., Okonkwo, E. A., &amp; Bello, H. (2023). Reproducibility in undergraduate engineering research: Principles and practices. Journal of Engineering Education Transformations, 36(3), 1–16.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259"/>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USB Power Socket with Android Monitoring Application - Project Proposal</dc:title>
  <dc:creator>Nile University of Nigeria</dc:creator>
  <dc:description>Undergraduate project proposal, Department of Electrical &amp; Electronic Engineering, 2025/2026 Session.</dc:description>
  <cp:lastModifiedBy>Un-named</cp:lastModifiedBy>
  <cp:revision>1</cp:revision>
  <dcterms:created xsi:type="dcterms:W3CDTF">2026-06-20T04:16:40.337Z</dcterms:created>
  <dcterms:modified xsi:type="dcterms:W3CDTF">2026-06-20T04:16:40.337Z</dcterms:modified>
</cp:coreProperties>
</file>

<file path=docProps/custom.xml><?xml version="1.0" encoding="utf-8"?>
<Properties xmlns="http://schemas.openxmlformats.org/officeDocument/2006/custom-properties" xmlns:vt="http://schemas.openxmlformats.org/officeDocument/2006/docPropsVTypes"/>
</file>