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7324D"/>
          <w:sz w:val="44"/>
        </w:rPr>
        <w:t>ESTRATEGIA DE OPTIMIZACIÓN DE COSTOS</w:t>
      </w:r>
    </w:p>
    <w:p>
      <w:pPr>
        <w:spacing w:after="40"/>
        <w:jc w:val="center"/>
      </w:pPr>
      <w:r>
        <w:rPr>
          <w:rFonts w:ascii="Arial" w:hAnsi="Arial"/>
          <w:b/>
          <w:color w:val="D53F8C"/>
          <w:sz w:val="32"/>
        </w:rPr>
        <w:t>Ecosistema de Automatización IA Autónomo</w:t>
      </w:r>
    </w:p>
    <w:p>
      <w:pPr>
        <w:spacing w:after="40"/>
        <w:jc w:val="center"/>
      </w:pPr>
      <w:r>
        <w:rPr>
          <w:sz w:val="22"/>
        </w:rPr>
        <w:t>Caso: atención automatizada de consultas para una tienda de indumentaria</w:t>
      </w:r>
    </w:p>
    <w:p>
      <w:pPr>
        <w:spacing w:after="40"/>
      </w:pPr>
    </w:p>
    <w:tbl>
      <w:tblPr>
        <w:tblW w:type="auto" w:w="0"/>
        <w:jc w:val="center"/>
        <w:tblLook w:firstColumn="1" w:firstRow="1" w:lastColumn="0" w:lastRow="0" w:noHBand="0" w:noVBand="1" w:val="04A0"/>
      </w:tblPr>
      <w:tblGrid>
        <w:gridCol w:w="10368"/>
      </w:tblGrid>
      <w:tr>
        <w:tc>
          <w:tcPr>
            <w:tcW w:type="dxa" w:w="10368"/>
            <w:shd w:fill="FFF0DB"/>
          </w:tcPr>
          <w:p>
            <w:pPr>
              <w:spacing w:after="0"/>
            </w:pPr>
            <w:r>
              <w:rPr>
                <w:rFonts w:ascii="Arial" w:hAnsi="Arial"/>
                <w:b/>
                <w:color w:val="17324D"/>
                <w:sz w:val="18"/>
              </w:rPr>
              <w:t>Objetivo: mantener un costo bajo por consulta sin sacrificar trazabilidad, revisión humana ni calidad de respuesta.</w:t>
            </w:r>
          </w:p>
        </w:tc>
      </w:tr>
    </w:tbl>
    <w:p>
      <w:pPr>
        <w:spacing w:after="40"/>
      </w:pPr>
    </w:p>
    <w:p>
      <w:pPr>
        <w:spacing w:after="40"/>
        <w:jc w:val="center"/>
      </w:pPr>
      <w:r>
        <w:rPr>
          <w:i/>
          <w:sz w:val="17"/>
        </w:rPr>
        <w:t>Fecha de referencia de precios: 31 de julio de 2026</w:t>
      </w:r>
    </w:p>
    <w:p>
      <w:pPr>
        <w:spacing w:after="40"/>
      </w:pPr>
      <w:r>
        <w:br w:type="page"/>
      </w:r>
    </w:p>
    <w:p>
      <w:pPr>
        <w:pStyle w:val="Heading1"/>
      </w:pPr>
      <w:r>
        <w:t>1. Arquitectura de costos del sistema</w:t>
      </w:r>
    </w:p>
    <w:p>
      <w:pPr>
        <w:spacing w:after="40"/>
      </w:pPr>
      <w:r>
        <w:t>El costo total depende de tres variables: créditos consumidos en Make, tokens procesados por OpenAI y el plan elegido para Airtable. Gmail no genera un costo API adicional en la implementación actual; el costo de una cuenta empresarial, si se utilizara Google Workspace, se considera un costo administrativo separado.</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75884"/>
          </w:tcPr>
          <w:p>
            <w:r/>
            <w:r>
              <w:rPr>
                <w:rFonts w:ascii="Arial" w:hAnsi="Arial"/>
                <w:b/>
                <w:color w:val="FFFFFF"/>
                <w:sz w:val="16"/>
              </w:rPr>
              <w:t>Componente</w:t>
            </w:r>
          </w:p>
        </w:tc>
        <w:tc>
          <w:tcPr>
            <w:tcW w:type="dxa" w:w="2592"/>
            <w:vAlign w:val="center"/>
            <w:shd w:fill="275884"/>
          </w:tcPr>
          <w:p>
            <w:r/>
            <w:r>
              <w:rPr>
                <w:rFonts w:ascii="Arial" w:hAnsi="Arial"/>
                <w:b/>
                <w:color w:val="FFFFFF"/>
                <w:sz w:val="16"/>
              </w:rPr>
              <w:t>Unidad de cobro</w:t>
            </w:r>
          </w:p>
        </w:tc>
        <w:tc>
          <w:tcPr>
            <w:tcW w:type="dxa" w:w="2592"/>
            <w:vAlign w:val="center"/>
            <w:shd w:fill="275884"/>
          </w:tcPr>
          <w:p>
            <w:r/>
            <w:r>
              <w:rPr>
                <w:rFonts w:ascii="Arial" w:hAnsi="Arial"/>
                <w:b/>
                <w:color w:val="FFFFFF"/>
                <w:sz w:val="16"/>
              </w:rPr>
              <w:t>Uso en el flujo</w:t>
            </w:r>
          </w:p>
        </w:tc>
        <w:tc>
          <w:tcPr>
            <w:tcW w:type="dxa" w:w="2592"/>
            <w:vAlign w:val="center"/>
            <w:shd w:fill="275884"/>
          </w:tcPr>
          <w:p>
            <w:r/>
            <w:r>
              <w:rPr>
                <w:rFonts w:ascii="Arial" w:hAnsi="Arial"/>
                <w:b/>
                <w:color w:val="FFFFFF"/>
                <w:sz w:val="16"/>
              </w:rPr>
              <w:t>Decisión adoptada</w:t>
            </w:r>
          </w:p>
        </w:tc>
      </w:tr>
      <w:tr>
        <w:tc>
          <w:tcPr>
            <w:tcW w:type="dxa" w:w="2592"/>
            <w:vAlign w:val="center"/>
          </w:tcPr>
          <w:p>
            <w:r/>
            <w:r>
              <w:rPr>
                <w:rFonts w:ascii="Arial" w:hAnsi="Arial"/>
                <w:b w:val="0"/>
                <w:color w:val="344054"/>
                <w:sz w:val="16"/>
              </w:rPr>
              <w:t>Make</w:t>
            </w:r>
          </w:p>
        </w:tc>
        <w:tc>
          <w:tcPr>
            <w:tcW w:type="dxa" w:w="2592"/>
            <w:vAlign w:val="center"/>
          </w:tcPr>
          <w:p>
            <w:r/>
            <w:r>
              <w:rPr>
                <w:rFonts w:ascii="Arial" w:hAnsi="Arial"/>
                <w:b w:val="0"/>
                <w:color w:val="344054"/>
                <w:sz w:val="16"/>
              </w:rPr>
              <w:t>Créditos por ejecución de módulos</w:t>
            </w:r>
          </w:p>
        </w:tc>
        <w:tc>
          <w:tcPr>
            <w:tcW w:type="dxa" w:w="2592"/>
            <w:vAlign w:val="center"/>
          </w:tcPr>
          <w:p>
            <w:r/>
            <w:r>
              <w:rPr>
                <w:rFonts w:ascii="Arial" w:hAnsi="Arial"/>
                <w:b w:val="0"/>
                <w:color w:val="344054"/>
                <w:sz w:val="16"/>
              </w:rPr>
              <w:t>Orquesta los dos escenarios</w:t>
            </w:r>
          </w:p>
        </w:tc>
        <w:tc>
          <w:tcPr>
            <w:tcW w:type="dxa" w:w="2592"/>
            <w:vAlign w:val="center"/>
          </w:tcPr>
          <w:p>
            <w:r/>
            <w:r>
              <w:rPr>
                <w:rFonts w:ascii="Arial" w:hAnsi="Arial"/>
                <w:b w:val="0"/>
                <w:color w:val="344054"/>
                <w:sz w:val="16"/>
              </w:rPr>
              <w:t>Plan Free para pruebas; Core al superar 1.000 créditos/mes</w:t>
            </w:r>
          </w:p>
        </w:tc>
      </w:tr>
      <w:tr>
        <w:tc>
          <w:tcPr>
            <w:tcW w:type="dxa" w:w="2592"/>
            <w:vAlign w:val="center"/>
            <w:shd w:fill="F7FAFC"/>
          </w:tcPr>
          <w:p>
            <w:r/>
            <w:r>
              <w:rPr>
                <w:rFonts w:ascii="Arial" w:hAnsi="Arial"/>
                <w:b w:val="0"/>
                <w:color w:val="344054"/>
                <w:sz w:val="16"/>
              </w:rPr>
              <w:t>OpenAI GPT-4.1 mini</w:t>
            </w:r>
          </w:p>
        </w:tc>
        <w:tc>
          <w:tcPr>
            <w:tcW w:type="dxa" w:w="2592"/>
            <w:vAlign w:val="center"/>
            <w:shd w:fill="F7FAFC"/>
          </w:tcPr>
          <w:p>
            <w:r/>
            <w:r>
              <w:rPr>
                <w:rFonts w:ascii="Arial" w:hAnsi="Arial"/>
                <w:b w:val="0"/>
                <w:color w:val="344054"/>
                <w:sz w:val="16"/>
              </w:rPr>
              <w:t>Tokens de entrada y salida</w:t>
            </w:r>
          </w:p>
        </w:tc>
        <w:tc>
          <w:tcPr>
            <w:tcW w:type="dxa" w:w="2592"/>
            <w:vAlign w:val="center"/>
            <w:shd w:fill="F7FAFC"/>
          </w:tcPr>
          <w:p>
            <w:r/>
            <w:r>
              <w:rPr>
                <w:rFonts w:ascii="Arial" w:hAnsi="Arial"/>
                <w:b w:val="0"/>
                <w:color w:val="344054"/>
                <w:sz w:val="16"/>
              </w:rPr>
              <w:t>Clasificación y respuesta sugerida</w:t>
            </w:r>
          </w:p>
        </w:tc>
        <w:tc>
          <w:tcPr>
            <w:tcW w:type="dxa" w:w="2592"/>
            <w:vAlign w:val="center"/>
            <w:shd w:fill="F7FAFC"/>
          </w:tcPr>
          <w:p>
            <w:r/>
            <w:r>
              <w:rPr>
                <w:rFonts w:ascii="Arial" w:hAnsi="Arial"/>
                <w:b w:val="0"/>
                <w:color w:val="344054"/>
                <w:sz w:val="16"/>
              </w:rPr>
              <w:t>Modelo económico y suficiente para texto breve estructurado</w:t>
            </w:r>
          </w:p>
        </w:tc>
      </w:tr>
      <w:tr>
        <w:tc>
          <w:tcPr>
            <w:tcW w:type="dxa" w:w="2592"/>
            <w:vAlign w:val="center"/>
          </w:tcPr>
          <w:p>
            <w:r/>
            <w:r>
              <w:rPr>
                <w:rFonts w:ascii="Arial" w:hAnsi="Arial"/>
                <w:b w:val="0"/>
                <w:color w:val="344054"/>
                <w:sz w:val="16"/>
              </w:rPr>
              <w:t>Airtable</w:t>
            </w:r>
          </w:p>
        </w:tc>
        <w:tc>
          <w:tcPr>
            <w:tcW w:type="dxa" w:w="2592"/>
            <w:vAlign w:val="center"/>
          </w:tcPr>
          <w:p>
            <w:r/>
            <w:r>
              <w:rPr>
                <w:rFonts w:ascii="Arial" w:hAnsi="Arial"/>
                <w:b w:val="0"/>
                <w:color w:val="344054"/>
                <w:sz w:val="16"/>
              </w:rPr>
              <w:t>Plan por usuario con permisos de edición</w:t>
            </w:r>
          </w:p>
        </w:tc>
        <w:tc>
          <w:tcPr>
            <w:tcW w:type="dxa" w:w="2592"/>
            <w:vAlign w:val="center"/>
          </w:tcPr>
          <w:p>
            <w:r/>
            <w:r>
              <w:rPr>
                <w:rFonts w:ascii="Arial" w:hAnsi="Arial"/>
                <w:b w:val="0"/>
                <w:color w:val="344054"/>
                <w:sz w:val="16"/>
              </w:rPr>
              <w:t>Base relacional, HITL y dashboard</w:t>
            </w:r>
          </w:p>
        </w:tc>
        <w:tc>
          <w:tcPr>
            <w:tcW w:type="dxa" w:w="2592"/>
            <w:vAlign w:val="center"/>
          </w:tcPr>
          <w:p>
            <w:r/>
            <w:r>
              <w:rPr>
                <w:rFonts w:ascii="Arial" w:hAnsi="Arial"/>
                <w:b w:val="0"/>
                <w:color w:val="344054"/>
                <w:sz w:val="16"/>
              </w:rPr>
              <w:t>Plan Free mientras el volumen y los límites sean suficientes</w:t>
            </w:r>
          </w:p>
        </w:tc>
      </w:tr>
      <w:tr>
        <w:tc>
          <w:tcPr>
            <w:tcW w:type="dxa" w:w="2592"/>
            <w:vAlign w:val="center"/>
            <w:shd w:fill="F7FAFC"/>
          </w:tcPr>
          <w:p>
            <w:r/>
            <w:r>
              <w:rPr>
                <w:rFonts w:ascii="Arial" w:hAnsi="Arial"/>
                <w:b w:val="0"/>
                <w:color w:val="344054"/>
                <w:sz w:val="16"/>
              </w:rPr>
              <w:t>Gmail</w:t>
            </w:r>
          </w:p>
        </w:tc>
        <w:tc>
          <w:tcPr>
            <w:tcW w:type="dxa" w:w="2592"/>
            <w:vAlign w:val="center"/>
            <w:shd w:fill="F7FAFC"/>
          </w:tcPr>
          <w:p>
            <w:r/>
            <w:r>
              <w:rPr>
                <w:rFonts w:ascii="Arial" w:hAnsi="Arial"/>
                <w:b w:val="0"/>
                <w:color w:val="344054"/>
                <w:sz w:val="16"/>
              </w:rPr>
              <w:t>Cuenta de correo</w:t>
            </w:r>
          </w:p>
        </w:tc>
        <w:tc>
          <w:tcPr>
            <w:tcW w:type="dxa" w:w="2592"/>
            <w:vAlign w:val="center"/>
            <w:shd w:fill="F7FAFC"/>
          </w:tcPr>
          <w:p>
            <w:r/>
            <w:r>
              <w:rPr>
                <w:rFonts w:ascii="Arial" w:hAnsi="Arial"/>
                <w:b w:val="0"/>
                <w:color w:val="344054"/>
                <w:sz w:val="16"/>
              </w:rPr>
              <w:t>Entrada, aviso al revisor y respuesta final</w:t>
            </w:r>
          </w:p>
        </w:tc>
        <w:tc>
          <w:tcPr>
            <w:tcW w:type="dxa" w:w="2592"/>
            <w:vAlign w:val="center"/>
            <w:shd w:fill="F7FAFC"/>
          </w:tcPr>
          <w:p>
            <w:r/>
            <w:r>
              <w:rPr>
                <w:rFonts w:ascii="Arial" w:hAnsi="Arial"/>
                <w:b w:val="0"/>
                <w:color w:val="344054"/>
                <w:sz w:val="16"/>
              </w:rPr>
              <w:t>Usar cuenta existente; Workspace solo si el negocio necesita dominio y administración</w:t>
            </w:r>
          </w:p>
        </w:tc>
      </w:tr>
      <w:tr>
        <w:tc>
          <w:tcPr>
            <w:tcW w:type="dxa" w:w="2592"/>
            <w:vAlign w:val="center"/>
          </w:tcPr>
          <w:p>
            <w:r/>
            <w:r>
              <w:rPr>
                <w:rFonts w:ascii="Arial" w:hAnsi="Arial"/>
                <w:b w:val="0"/>
                <w:color w:val="344054"/>
                <w:sz w:val="16"/>
              </w:rPr>
              <w:t>Claude</w:t>
            </w:r>
          </w:p>
        </w:tc>
        <w:tc>
          <w:tcPr>
            <w:tcW w:type="dxa" w:w="2592"/>
            <w:vAlign w:val="center"/>
          </w:tcPr>
          <w:p>
            <w:r/>
            <w:r>
              <w:rPr>
                <w:rFonts w:ascii="Arial" w:hAnsi="Arial"/>
                <w:b w:val="0"/>
                <w:color w:val="344054"/>
                <w:sz w:val="16"/>
              </w:rPr>
              <w:t>Tokens; Batch y caché opcionales</w:t>
            </w:r>
          </w:p>
        </w:tc>
        <w:tc>
          <w:tcPr>
            <w:tcW w:type="dxa" w:w="2592"/>
            <w:vAlign w:val="center"/>
          </w:tcPr>
          <w:p>
            <w:r/>
            <w:r>
              <w:rPr>
                <w:rFonts w:ascii="Arial" w:hAnsi="Arial"/>
                <w:b w:val="0"/>
                <w:color w:val="344054"/>
                <w:sz w:val="16"/>
              </w:rPr>
              <w:t>No se usa en el flujo actual</w:t>
            </w:r>
          </w:p>
        </w:tc>
        <w:tc>
          <w:tcPr>
            <w:tcW w:type="dxa" w:w="2592"/>
            <w:vAlign w:val="center"/>
          </w:tcPr>
          <w:p>
            <w:r/>
            <w:r>
              <w:rPr>
                <w:rFonts w:ascii="Arial" w:hAnsi="Arial"/>
                <w:b w:val="0"/>
                <w:color w:val="344054"/>
                <w:sz w:val="16"/>
              </w:rPr>
              <w:t>Reservarlo para documentos extensos o análisis complejos</w:t>
            </w:r>
          </w:p>
        </w:tc>
      </w:tr>
    </w:tbl>
    <w:p>
      <w:pPr>
        <w:pStyle w:val="Heading1"/>
      </w:pPr>
      <w:r>
        <w:t>2. Costos vigentes relevantes</w:t>
      </w:r>
    </w:p>
    <w:p>
      <w:pPr>
        <w:spacing w:after="40"/>
      </w:pPr>
      <w:r>
        <w:t>Los siguientes valores provienen de páginas oficiales. Los proveedores pueden modificarlos, por lo que deben revisarse antes de escalar.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75884"/>
          </w:tcPr>
          <w:p>
            <w:r/>
            <w:r>
              <w:rPr>
                <w:rFonts w:ascii="Arial" w:hAnsi="Arial"/>
                <w:b/>
                <w:color w:val="FFFFFF"/>
                <w:sz w:val="15"/>
              </w:rPr>
              <w:t>Servicio</w:t>
            </w:r>
          </w:p>
        </w:tc>
        <w:tc>
          <w:tcPr>
            <w:tcW w:type="dxa" w:w="3456"/>
            <w:vAlign w:val="center"/>
            <w:shd w:fill="275884"/>
          </w:tcPr>
          <w:p>
            <w:r/>
            <w:r>
              <w:rPr>
                <w:rFonts w:ascii="Arial" w:hAnsi="Arial"/>
                <w:b/>
                <w:color w:val="FFFFFF"/>
                <w:sz w:val="15"/>
              </w:rPr>
              <w:t>Referencia oficial</w:t>
            </w:r>
          </w:p>
        </w:tc>
        <w:tc>
          <w:tcPr>
            <w:tcW w:type="dxa" w:w="3456"/>
            <w:vAlign w:val="center"/>
            <w:shd w:fill="275884"/>
          </w:tcPr>
          <w:p>
            <w:r/>
            <w:r>
              <w:rPr>
                <w:rFonts w:ascii="Arial" w:hAnsi="Arial"/>
                <w:b/>
                <w:color w:val="FFFFFF"/>
                <w:sz w:val="15"/>
              </w:rPr>
              <w:t>Valor relevante</w:t>
            </w:r>
          </w:p>
        </w:tc>
      </w:tr>
      <w:tr>
        <w:tc>
          <w:tcPr>
            <w:tcW w:type="dxa" w:w="3456"/>
            <w:vAlign w:val="center"/>
          </w:tcPr>
          <w:p>
            <w:r/>
            <w:r>
              <w:rPr>
                <w:rFonts w:ascii="Arial" w:hAnsi="Arial"/>
                <w:b w:val="0"/>
                <w:color w:val="344054"/>
                <w:sz w:val="15"/>
              </w:rPr>
              <w:t>Make Free</w:t>
            </w:r>
          </w:p>
        </w:tc>
        <w:tc>
          <w:tcPr>
            <w:tcW w:type="dxa" w:w="3456"/>
            <w:vAlign w:val="center"/>
          </w:tcPr>
          <w:p>
            <w:r/>
            <w:r>
              <w:rPr>
                <w:rFonts w:ascii="Arial" w:hAnsi="Arial"/>
                <w:b w:val="0"/>
                <w:color w:val="344054"/>
                <w:sz w:val="15"/>
              </w:rPr>
              <w:t>Make Pricing</w:t>
            </w:r>
          </w:p>
        </w:tc>
        <w:tc>
          <w:tcPr>
            <w:tcW w:type="dxa" w:w="3456"/>
            <w:vAlign w:val="center"/>
          </w:tcPr>
          <w:p>
            <w:r/>
            <w:r>
              <w:rPr>
                <w:rFonts w:ascii="Arial" w:hAnsi="Arial"/>
                <w:b w:val="0"/>
                <w:color w:val="344054"/>
                <w:sz w:val="15"/>
              </w:rPr>
              <w:t>USD 0; hasta 1.000 créditos por mes; intervalo mínimo de 15 minutos</w:t>
            </w:r>
          </w:p>
        </w:tc>
      </w:tr>
      <w:tr>
        <w:tc>
          <w:tcPr>
            <w:tcW w:type="dxa" w:w="3456"/>
            <w:vAlign w:val="center"/>
            <w:shd w:fill="F7FAFC"/>
          </w:tcPr>
          <w:p>
            <w:r/>
            <w:r>
              <w:rPr>
                <w:rFonts w:ascii="Arial" w:hAnsi="Arial"/>
                <w:b w:val="0"/>
                <w:color w:val="344054"/>
                <w:sz w:val="15"/>
              </w:rPr>
              <w:t>Make Core</w:t>
            </w:r>
          </w:p>
        </w:tc>
        <w:tc>
          <w:tcPr>
            <w:tcW w:type="dxa" w:w="3456"/>
            <w:vAlign w:val="center"/>
            <w:shd w:fill="F7FAFC"/>
          </w:tcPr>
          <w:p>
            <w:r/>
            <w:r>
              <w:rPr>
                <w:rFonts w:ascii="Arial" w:hAnsi="Arial"/>
                <w:b w:val="0"/>
                <w:color w:val="344054"/>
                <w:sz w:val="15"/>
              </w:rPr>
              <w:t>Make Pricing</w:t>
            </w:r>
          </w:p>
        </w:tc>
        <w:tc>
          <w:tcPr>
            <w:tcW w:type="dxa" w:w="3456"/>
            <w:vAlign w:val="center"/>
            <w:shd w:fill="F7FAFC"/>
          </w:tcPr>
          <w:p>
            <w:r/>
            <w:r>
              <w:rPr>
                <w:rFonts w:ascii="Arial" w:hAnsi="Arial"/>
                <w:b w:val="0"/>
                <w:color w:val="344054"/>
                <w:sz w:val="15"/>
              </w:rPr>
              <w:t>USD 12/mes por 10.000 créditos</w:t>
            </w:r>
          </w:p>
        </w:tc>
      </w:tr>
      <w:tr>
        <w:tc>
          <w:tcPr>
            <w:tcW w:type="dxa" w:w="3456"/>
            <w:vAlign w:val="center"/>
          </w:tcPr>
          <w:p>
            <w:r/>
            <w:r>
              <w:rPr>
                <w:rFonts w:ascii="Arial" w:hAnsi="Arial"/>
                <w:b w:val="0"/>
                <w:color w:val="344054"/>
                <w:sz w:val="15"/>
              </w:rPr>
              <w:t>Airtable Free</w:t>
            </w:r>
          </w:p>
        </w:tc>
        <w:tc>
          <w:tcPr>
            <w:tcW w:type="dxa" w:w="3456"/>
            <w:vAlign w:val="center"/>
          </w:tcPr>
          <w:p>
            <w:r/>
            <w:r>
              <w:rPr>
                <w:rFonts w:ascii="Arial" w:hAnsi="Arial"/>
                <w:b w:val="0"/>
                <w:color w:val="344054"/>
                <w:sz w:val="15"/>
              </w:rPr>
              <w:t>Airtable Pricing</w:t>
            </w:r>
          </w:p>
        </w:tc>
        <w:tc>
          <w:tcPr>
            <w:tcW w:type="dxa" w:w="3456"/>
            <w:vAlign w:val="center"/>
          </w:tcPr>
          <w:p>
            <w:r/>
            <w:r>
              <w:rPr>
                <w:rFonts w:ascii="Arial" w:hAnsi="Arial"/>
                <w:b w:val="0"/>
                <w:color w:val="344054"/>
                <w:sz w:val="15"/>
              </w:rPr>
              <w:t>Sin costo para equipos pequeños y necesidades livianas</w:t>
            </w:r>
          </w:p>
        </w:tc>
      </w:tr>
      <w:tr>
        <w:tc>
          <w:tcPr>
            <w:tcW w:type="dxa" w:w="3456"/>
            <w:vAlign w:val="center"/>
            <w:shd w:fill="F7FAFC"/>
          </w:tcPr>
          <w:p>
            <w:r/>
            <w:r>
              <w:rPr>
                <w:rFonts w:ascii="Arial" w:hAnsi="Arial"/>
                <w:b w:val="0"/>
                <w:color w:val="344054"/>
                <w:sz w:val="15"/>
              </w:rPr>
              <w:t>Airtable Team</w:t>
            </w:r>
          </w:p>
        </w:tc>
        <w:tc>
          <w:tcPr>
            <w:tcW w:type="dxa" w:w="3456"/>
            <w:vAlign w:val="center"/>
            <w:shd w:fill="F7FAFC"/>
          </w:tcPr>
          <w:p>
            <w:r/>
            <w:r>
              <w:rPr>
                <w:rFonts w:ascii="Arial" w:hAnsi="Arial"/>
                <w:b w:val="0"/>
                <w:color w:val="344054"/>
                <w:sz w:val="15"/>
              </w:rPr>
              <w:t>Airtable Pricing</w:t>
            </w:r>
          </w:p>
        </w:tc>
        <w:tc>
          <w:tcPr>
            <w:tcW w:type="dxa" w:w="3456"/>
            <w:vAlign w:val="center"/>
            <w:shd w:fill="F7FAFC"/>
          </w:tcPr>
          <w:p>
            <w:r/>
            <w:r>
              <w:rPr>
                <w:rFonts w:ascii="Arial" w:hAnsi="Arial"/>
                <w:b w:val="0"/>
                <w:color w:val="344054"/>
                <w:sz w:val="15"/>
              </w:rPr>
              <w:t>USD 20 por usuario/mes con facturación anual</w:t>
            </w:r>
          </w:p>
        </w:tc>
      </w:tr>
      <w:tr>
        <w:tc>
          <w:tcPr>
            <w:tcW w:type="dxa" w:w="3456"/>
            <w:vAlign w:val="center"/>
          </w:tcPr>
          <w:p>
            <w:r/>
            <w:r>
              <w:rPr>
                <w:rFonts w:ascii="Arial" w:hAnsi="Arial"/>
                <w:b w:val="0"/>
                <w:color w:val="344054"/>
                <w:sz w:val="15"/>
              </w:rPr>
              <w:t>GPT-4.1 mini</w:t>
            </w:r>
          </w:p>
        </w:tc>
        <w:tc>
          <w:tcPr>
            <w:tcW w:type="dxa" w:w="3456"/>
            <w:vAlign w:val="center"/>
          </w:tcPr>
          <w:p>
            <w:r/>
            <w:r>
              <w:rPr>
                <w:rFonts w:ascii="Arial" w:hAnsi="Arial"/>
                <w:b w:val="0"/>
                <w:color w:val="344054"/>
                <w:sz w:val="15"/>
              </w:rPr>
              <w:t>OpenAI API</w:t>
            </w:r>
          </w:p>
        </w:tc>
        <w:tc>
          <w:tcPr>
            <w:tcW w:type="dxa" w:w="3456"/>
            <w:vAlign w:val="center"/>
          </w:tcPr>
          <w:p>
            <w:r/>
            <w:r>
              <w:rPr>
                <w:rFonts w:ascii="Arial" w:hAnsi="Arial"/>
                <w:b w:val="0"/>
                <w:color w:val="344054"/>
                <w:sz w:val="15"/>
              </w:rPr>
              <w:t>USD 0,40 por 1M tokens de entrada y USD 1,60 por 1M de salida</w:t>
            </w:r>
          </w:p>
        </w:tc>
      </w:tr>
      <w:tr>
        <w:tc>
          <w:tcPr>
            <w:tcW w:type="dxa" w:w="3456"/>
            <w:vAlign w:val="center"/>
            <w:shd w:fill="F7FAFC"/>
          </w:tcPr>
          <w:p>
            <w:r/>
            <w:r>
              <w:rPr>
                <w:rFonts w:ascii="Arial" w:hAnsi="Arial"/>
                <w:b w:val="0"/>
                <w:color w:val="344054"/>
                <w:sz w:val="15"/>
              </w:rPr>
              <w:t>GPT-4.1 mini - caché</w:t>
            </w:r>
          </w:p>
        </w:tc>
        <w:tc>
          <w:tcPr>
            <w:tcW w:type="dxa" w:w="3456"/>
            <w:vAlign w:val="center"/>
            <w:shd w:fill="F7FAFC"/>
          </w:tcPr>
          <w:p>
            <w:r/>
            <w:r>
              <w:rPr>
                <w:rFonts w:ascii="Arial" w:hAnsi="Arial"/>
                <w:b w:val="0"/>
                <w:color w:val="344054"/>
                <w:sz w:val="15"/>
              </w:rPr>
              <w:t>OpenAI API</w:t>
            </w:r>
          </w:p>
        </w:tc>
        <w:tc>
          <w:tcPr>
            <w:tcW w:type="dxa" w:w="3456"/>
            <w:vAlign w:val="center"/>
            <w:shd w:fill="F7FAFC"/>
          </w:tcPr>
          <w:p>
            <w:r/>
            <w:r>
              <w:rPr>
                <w:rFonts w:ascii="Arial" w:hAnsi="Arial"/>
                <w:b w:val="0"/>
                <w:color w:val="344054"/>
                <w:sz w:val="15"/>
              </w:rPr>
              <w:t>USD 0,10 por 1M tokens de entrada en caché</w:t>
            </w:r>
          </w:p>
        </w:tc>
      </w:tr>
      <w:tr>
        <w:tc>
          <w:tcPr>
            <w:tcW w:type="dxa" w:w="3456"/>
            <w:vAlign w:val="center"/>
          </w:tcPr>
          <w:p>
            <w:r/>
            <w:r>
              <w:rPr>
                <w:rFonts w:ascii="Arial" w:hAnsi="Arial"/>
                <w:b w:val="0"/>
                <w:color w:val="344054"/>
                <w:sz w:val="15"/>
              </w:rPr>
              <w:t>OpenAI Batch</w:t>
            </w:r>
          </w:p>
        </w:tc>
        <w:tc>
          <w:tcPr>
            <w:tcW w:type="dxa" w:w="3456"/>
            <w:vAlign w:val="center"/>
          </w:tcPr>
          <w:p>
            <w:r/>
            <w:r>
              <w:rPr>
                <w:rFonts w:ascii="Arial" w:hAnsi="Arial"/>
                <w:b w:val="0"/>
                <w:color w:val="344054"/>
                <w:sz w:val="15"/>
              </w:rPr>
              <w:t>OpenAI</w:t>
            </w:r>
          </w:p>
        </w:tc>
        <w:tc>
          <w:tcPr>
            <w:tcW w:type="dxa" w:w="3456"/>
            <w:vAlign w:val="center"/>
          </w:tcPr>
          <w:p>
            <w:r/>
            <w:r>
              <w:rPr>
                <w:rFonts w:ascii="Arial" w:hAnsi="Arial"/>
                <w:b w:val="0"/>
                <w:color w:val="344054"/>
                <w:sz w:val="15"/>
              </w:rPr>
              <w:t>Descuento adicional del 50% para tareas asíncronas</w:t>
            </w:r>
          </w:p>
        </w:tc>
      </w:tr>
      <w:tr>
        <w:tc>
          <w:tcPr>
            <w:tcW w:type="dxa" w:w="3456"/>
            <w:vAlign w:val="center"/>
            <w:shd w:fill="F7FAFC"/>
          </w:tcPr>
          <w:p>
            <w:r/>
            <w:r>
              <w:rPr>
                <w:rFonts w:ascii="Arial" w:hAnsi="Arial"/>
                <w:b w:val="0"/>
                <w:color w:val="344054"/>
                <w:sz w:val="15"/>
              </w:rPr>
              <w:t>Claude Message Batches</w:t>
            </w:r>
          </w:p>
        </w:tc>
        <w:tc>
          <w:tcPr>
            <w:tcW w:type="dxa" w:w="3456"/>
            <w:vAlign w:val="center"/>
            <w:shd w:fill="F7FAFC"/>
          </w:tcPr>
          <w:p>
            <w:r/>
            <w:r>
              <w:rPr>
                <w:rFonts w:ascii="Arial" w:hAnsi="Arial"/>
                <w:b w:val="0"/>
                <w:color w:val="344054"/>
                <w:sz w:val="15"/>
              </w:rPr>
              <w:t>Anthropic</w:t>
            </w:r>
          </w:p>
        </w:tc>
        <w:tc>
          <w:tcPr>
            <w:tcW w:type="dxa" w:w="3456"/>
            <w:vAlign w:val="center"/>
            <w:shd w:fill="F7FAFC"/>
          </w:tcPr>
          <w:p>
            <w:r/>
            <w:r>
              <w:rPr>
                <w:rFonts w:ascii="Arial" w:hAnsi="Arial"/>
                <w:b w:val="0"/>
                <w:color w:val="344054"/>
                <w:sz w:val="15"/>
              </w:rPr>
              <w:t>Descuento del 50% para entrada y salida; procesamiento asíncrono</w:t>
            </w:r>
          </w:p>
        </w:tc>
      </w:tr>
    </w:tbl>
    <w:p>
      <w:pPr>
        <w:pStyle w:val="Heading1"/>
      </w:pPr>
      <w:r>
        <w:t>3. Consumo estimado del flujo real</w:t>
      </w:r>
    </w:p>
    <w:p>
      <w:pPr>
        <w:spacing w:after="40"/>
      </w:pPr>
      <w:r>
        <w:t>Una consulta completada utiliza aproximadamente 9 créditos de Make: 6 en el escenario principal y 3 en el escenario HITL. Los filtros no ejecutados y la ruta de error no se incluyen en una ejecución normal.</w:t>
      </w:r>
    </w:p>
    <w:tbl>
      <w:tblPr>
        <w:tblW w:type="auto" w:w="0"/>
        <w:jc w:val="center"/>
        <w:tblLook w:firstColumn="1" w:firstRow="1" w:lastColumn="0" w:lastRow="0" w:noHBand="0" w:noVBand="1" w:val="04A0"/>
      </w:tblPr>
      <w:tblGrid>
        <w:gridCol w:w="10368"/>
      </w:tblGrid>
      <w:tr>
        <w:tc>
          <w:tcPr>
            <w:tcW w:type="dxa" w:w="10368"/>
            <w:shd w:fill="E4F6E9"/>
          </w:tcPr>
          <w:p>
            <w:pPr>
              <w:spacing w:after="0"/>
            </w:pPr>
            <w:r>
              <w:rPr>
                <w:rFonts w:ascii="Arial" w:hAnsi="Arial"/>
                <w:b/>
                <w:color w:val="17324D"/>
                <w:sz w:val="18"/>
              </w:rPr>
              <w:t>Fórmula: créditos mensuales = cantidad de consultas × 9</w:t>
            </w:r>
          </w:p>
        </w:tc>
      </w:tr>
    </w:tbl>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75884"/>
          </w:tcPr>
          <w:p>
            <w:r/>
            <w:r>
              <w:rPr>
                <w:rFonts w:ascii="Arial" w:hAnsi="Arial"/>
                <w:b/>
                <w:color w:val="FFFFFF"/>
                <w:sz w:val="17"/>
              </w:rPr>
              <w:t>Consultas/mes</w:t>
            </w:r>
          </w:p>
        </w:tc>
        <w:tc>
          <w:tcPr>
            <w:tcW w:type="dxa" w:w="2592"/>
            <w:vAlign w:val="center"/>
            <w:shd w:fill="275884"/>
          </w:tcPr>
          <w:p>
            <w:r/>
            <w:r>
              <w:rPr>
                <w:rFonts w:ascii="Arial" w:hAnsi="Arial"/>
                <w:b/>
                <w:color w:val="FFFFFF"/>
                <w:sz w:val="17"/>
              </w:rPr>
              <w:t>Créditos estimados</w:t>
            </w:r>
          </w:p>
        </w:tc>
        <w:tc>
          <w:tcPr>
            <w:tcW w:type="dxa" w:w="2592"/>
            <w:vAlign w:val="center"/>
            <w:shd w:fill="275884"/>
          </w:tcPr>
          <w:p>
            <w:r/>
            <w:r>
              <w:rPr>
                <w:rFonts w:ascii="Arial" w:hAnsi="Arial"/>
                <w:b/>
                <w:color w:val="FFFFFF"/>
                <w:sz w:val="17"/>
              </w:rPr>
              <w:t>Plan Make sugerido</w:t>
            </w:r>
          </w:p>
        </w:tc>
        <w:tc>
          <w:tcPr>
            <w:tcW w:type="dxa" w:w="2592"/>
            <w:vAlign w:val="center"/>
            <w:shd w:fill="275884"/>
          </w:tcPr>
          <w:p>
            <w:r/>
            <w:r>
              <w:rPr>
                <w:rFonts w:ascii="Arial" w:hAnsi="Arial"/>
                <w:b/>
                <w:color w:val="FFFFFF"/>
                <w:sz w:val="17"/>
              </w:rPr>
              <w:t>Costo Make estimado</w:t>
            </w:r>
          </w:p>
        </w:tc>
      </w:tr>
      <w:tr>
        <w:tc>
          <w:tcPr>
            <w:tcW w:type="dxa" w:w="2592"/>
            <w:vAlign w:val="center"/>
          </w:tcPr>
          <w:p>
            <w:r/>
            <w:r>
              <w:rPr>
                <w:rFonts w:ascii="Arial" w:hAnsi="Arial"/>
                <w:b w:val="0"/>
                <w:color w:val="344054"/>
                <w:sz w:val="17"/>
              </w:rPr>
              <w:t>100</w:t>
            </w:r>
          </w:p>
        </w:tc>
        <w:tc>
          <w:tcPr>
            <w:tcW w:type="dxa" w:w="2592"/>
            <w:vAlign w:val="center"/>
          </w:tcPr>
          <w:p>
            <w:r/>
            <w:r>
              <w:rPr>
                <w:rFonts w:ascii="Arial" w:hAnsi="Arial"/>
                <w:b w:val="0"/>
                <w:color w:val="344054"/>
                <w:sz w:val="17"/>
              </w:rPr>
              <w:t>900</w:t>
            </w:r>
          </w:p>
        </w:tc>
        <w:tc>
          <w:tcPr>
            <w:tcW w:type="dxa" w:w="2592"/>
            <w:vAlign w:val="center"/>
          </w:tcPr>
          <w:p>
            <w:r/>
            <w:r>
              <w:rPr>
                <w:rFonts w:ascii="Arial" w:hAnsi="Arial"/>
                <w:b w:val="0"/>
                <w:color w:val="344054"/>
                <w:sz w:val="17"/>
              </w:rPr>
              <w:t>Free</w:t>
            </w:r>
          </w:p>
        </w:tc>
        <w:tc>
          <w:tcPr>
            <w:tcW w:type="dxa" w:w="2592"/>
            <w:vAlign w:val="center"/>
          </w:tcPr>
          <w:p>
            <w:r/>
            <w:r>
              <w:rPr>
                <w:rFonts w:ascii="Arial" w:hAnsi="Arial"/>
                <w:b w:val="0"/>
                <w:color w:val="344054"/>
                <w:sz w:val="17"/>
              </w:rPr>
              <w:t>USD 0</w:t>
            </w:r>
          </w:p>
        </w:tc>
      </w:tr>
      <w:tr>
        <w:tc>
          <w:tcPr>
            <w:tcW w:type="dxa" w:w="2592"/>
            <w:vAlign w:val="center"/>
            <w:shd w:fill="F7FAFC"/>
          </w:tcPr>
          <w:p>
            <w:r/>
            <w:r>
              <w:rPr>
                <w:rFonts w:ascii="Arial" w:hAnsi="Arial"/>
                <w:b w:val="0"/>
                <w:color w:val="344054"/>
                <w:sz w:val="17"/>
              </w:rPr>
              <w:t>300</w:t>
            </w:r>
          </w:p>
        </w:tc>
        <w:tc>
          <w:tcPr>
            <w:tcW w:type="dxa" w:w="2592"/>
            <w:vAlign w:val="center"/>
            <w:shd w:fill="F7FAFC"/>
          </w:tcPr>
          <w:p>
            <w:r/>
            <w:r>
              <w:rPr>
                <w:rFonts w:ascii="Arial" w:hAnsi="Arial"/>
                <w:b w:val="0"/>
                <w:color w:val="344054"/>
                <w:sz w:val="17"/>
              </w:rPr>
              <w:t>2700</w:t>
            </w:r>
          </w:p>
        </w:tc>
        <w:tc>
          <w:tcPr>
            <w:tcW w:type="dxa" w:w="2592"/>
            <w:vAlign w:val="center"/>
            <w:shd w:fill="F7FAFC"/>
          </w:tcPr>
          <w:p>
            <w:r/>
            <w:r>
              <w:rPr>
                <w:rFonts w:ascii="Arial" w:hAnsi="Arial"/>
                <w:b w:val="0"/>
                <w:color w:val="344054"/>
                <w:sz w:val="17"/>
              </w:rPr>
              <w:t>Core (10.000 créditos)</w:t>
            </w:r>
          </w:p>
        </w:tc>
        <w:tc>
          <w:tcPr>
            <w:tcW w:type="dxa" w:w="2592"/>
            <w:vAlign w:val="center"/>
            <w:shd w:fill="F7FAFC"/>
          </w:tcPr>
          <w:p>
            <w:r/>
            <w:r>
              <w:rPr>
                <w:rFonts w:ascii="Arial" w:hAnsi="Arial"/>
                <w:b w:val="0"/>
                <w:color w:val="344054"/>
                <w:sz w:val="17"/>
              </w:rPr>
              <w:t>USD 12</w:t>
            </w:r>
          </w:p>
        </w:tc>
      </w:tr>
      <w:tr>
        <w:tc>
          <w:tcPr>
            <w:tcW w:type="dxa" w:w="2592"/>
            <w:vAlign w:val="center"/>
          </w:tcPr>
          <w:p>
            <w:r/>
            <w:r>
              <w:rPr>
                <w:rFonts w:ascii="Arial" w:hAnsi="Arial"/>
                <w:b w:val="0"/>
                <w:color w:val="344054"/>
                <w:sz w:val="17"/>
              </w:rPr>
              <w:t>500</w:t>
            </w:r>
          </w:p>
        </w:tc>
        <w:tc>
          <w:tcPr>
            <w:tcW w:type="dxa" w:w="2592"/>
            <w:vAlign w:val="center"/>
          </w:tcPr>
          <w:p>
            <w:r/>
            <w:r>
              <w:rPr>
                <w:rFonts w:ascii="Arial" w:hAnsi="Arial"/>
                <w:b w:val="0"/>
                <w:color w:val="344054"/>
                <w:sz w:val="17"/>
              </w:rPr>
              <w:t>4500</w:t>
            </w:r>
          </w:p>
        </w:tc>
        <w:tc>
          <w:tcPr>
            <w:tcW w:type="dxa" w:w="2592"/>
            <w:vAlign w:val="center"/>
          </w:tcPr>
          <w:p>
            <w:r/>
            <w:r>
              <w:rPr>
                <w:rFonts w:ascii="Arial" w:hAnsi="Arial"/>
                <w:b w:val="0"/>
                <w:color w:val="344054"/>
                <w:sz w:val="17"/>
              </w:rPr>
              <w:t>Core (10.000 créditos)</w:t>
            </w:r>
          </w:p>
        </w:tc>
        <w:tc>
          <w:tcPr>
            <w:tcW w:type="dxa" w:w="2592"/>
            <w:vAlign w:val="center"/>
          </w:tcPr>
          <w:p>
            <w:r/>
            <w:r>
              <w:rPr>
                <w:rFonts w:ascii="Arial" w:hAnsi="Arial"/>
                <w:b w:val="0"/>
                <w:color w:val="344054"/>
                <w:sz w:val="17"/>
              </w:rPr>
              <w:t>USD 12</w:t>
            </w:r>
          </w:p>
        </w:tc>
      </w:tr>
      <w:tr>
        <w:tc>
          <w:tcPr>
            <w:tcW w:type="dxa" w:w="2592"/>
            <w:vAlign w:val="center"/>
            <w:shd w:fill="F7FAFC"/>
          </w:tcPr>
          <w:p>
            <w:r/>
            <w:r>
              <w:rPr>
                <w:rFonts w:ascii="Arial" w:hAnsi="Arial"/>
                <w:b w:val="0"/>
                <w:color w:val="344054"/>
                <w:sz w:val="17"/>
              </w:rPr>
              <w:t>1000</w:t>
            </w:r>
          </w:p>
        </w:tc>
        <w:tc>
          <w:tcPr>
            <w:tcW w:type="dxa" w:w="2592"/>
            <w:vAlign w:val="center"/>
            <w:shd w:fill="F7FAFC"/>
          </w:tcPr>
          <w:p>
            <w:r/>
            <w:r>
              <w:rPr>
                <w:rFonts w:ascii="Arial" w:hAnsi="Arial"/>
                <w:b w:val="0"/>
                <w:color w:val="344054"/>
                <w:sz w:val="17"/>
              </w:rPr>
              <w:t>9000</w:t>
            </w:r>
          </w:p>
        </w:tc>
        <w:tc>
          <w:tcPr>
            <w:tcW w:type="dxa" w:w="2592"/>
            <w:vAlign w:val="center"/>
            <w:shd w:fill="F7FAFC"/>
          </w:tcPr>
          <w:p>
            <w:r/>
            <w:r>
              <w:rPr>
                <w:rFonts w:ascii="Arial" w:hAnsi="Arial"/>
                <w:b w:val="0"/>
                <w:color w:val="344054"/>
                <w:sz w:val="17"/>
              </w:rPr>
              <w:t>Core (10.000 créditos)</w:t>
            </w:r>
          </w:p>
        </w:tc>
        <w:tc>
          <w:tcPr>
            <w:tcW w:type="dxa" w:w="2592"/>
            <w:vAlign w:val="center"/>
            <w:shd w:fill="F7FAFC"/>
          </w:tcPr>
          <w:p>
            <w:r/>
            <w:r>
              <w:rPr>
                <w:rFonts w:ascii="Arial" w:hAnsi="Arial"/>
                <w:b w:val="0"/>
                <w:color w:val="344054"/>
                <w:sz w:val="17"/>
              </w:rPr>
              <w:t>USD 12</w:t>
            </w:r>
          </w:p>
        </w:tc>
      </w:tr>
    </w:tbl>
    <w:p>
      <w:pPr>
        <w:pStyle w:val="Heading1"/>
      </w:pPr>
      <w:r>
        <w:t>4. Estimación de tokens de OpenAI</w:t>
      </w:r>
    </w:p>
    <w:p>
      <w:pPr>
        <w:spacing w:after="40"/>
      </w:pPr>
      <w:r>
        <w:t>Para una consulta típica se adopta una hipótesis conservadora de 1.200 tokens de entrada (prompt, asunto y cuerpo del correo) y 250 tokens de salida (JSON y respuesta sugerida).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75884"/>
          </w:tcPr>
          <w:p>
            <w:r/>
            <w:r>
              <w:rPr>
                <w:rFonts w:ascii="Arial" w:hAnsi="Arial"/>
                <w:b/>
                <w:color w:val="FFFFFF"/>
                <w:sz w:val="17"/>
              </w:rPr>
              <w:t>Consultas/mes</w:t>
            </w:r>
          </w:p>
        </w:tc>
        <w:tc>
          <w:tcPr>
            <w:tcW w:type="dxa" w:w="2592"/>
            <w:vAlign w:val="center"/>
            <w:shd w:fill="275884"/>
          </w:tcPr>
          <w:p>
            <w:r/>
            <w:r>
              <w:rPr>
                <w:rFonts w:ascii="Arial" w:hAnsi="Arial"/>
                <w:b/>
                <w:color w:val="FFFFFF"/>
                <w:sz w:val="17"/>
              </w:rPr>
              <w:t>Tokens entrada</w:t>
            </w:r>
          </w:p>
        </w:tc>
        <w:tc>
          <w:tcPr>
            <w:tcW w:type="dxa" w:w="2592"/>
            <w:vAlign w:val="center"/>
            <w:shd w:fill="275884"/>
          </w:tcPr>
          <w:p>
            <w:r/>
            <w:r>
              <w:rPr>
                <w:rFonts w:ascii="Arial" w:hAnsi="Arial"/>
                <w:b/>
                <w:color w:val="FFFFFF"/>
                <w:sz w:val="17"/>
              </w:rPr>
              <w:t>Tokens salida</w:t>
            </w:r>
          </w:p>
        </w:tc>
        <w:tc>
          <w:tcPr>
            <w:tcW w:type="dxa" w:w="2592"/>
            <w:vAlign w:val="center"/>
            <w:shd w:fill="275884"/>
          </w:tcPr>
          <w:p>
            <w:r/>
            <w:r>
              <w:rPr>
                <w:rFonts w:ascii="Arial" w:hAnsi="Arial"/>
                <w:b/>
                <w:color w:val="FFFFFF"/>
                <w:sz w:val="17"/>
              </w:rPr>
              <w:t>Costo OpenAI estimado</w:t>
            </w:r>
          </w:p>
        </w:tc>
      </w:tr>
      <w:tr>
        <w:tc>
          <w:tcPr>
            <w:tcW w:type="dxa" w:w="2592"/>
            <w:vAlign w:val="center"/>
          </w:tcPr>
          <w:p>
            <w:r/>
            <w:r>
              <w:rPr>
                <w:rFonts w:ascii="Arial" w:hAnsi="Arial"/>
                <w:b w:val="0"/>
                <w:color w:val="344054"/>
                <w:sz w:val="17"/>
              </w:rPr>
              <w:t>100</w:t>
            </w:r>
          </w:p>
        </w:tc>
        <w:tc>
          <w:tcPr>
            <w:tcW w:type="dxa" w:w="2592"/>
            <w:vAlign w:val="center"/>
          </w:tcPr>
          <w:p>
            <w:r/>
            <w:r>
              <w:rPr>
                <w:rFonts w:ascii="Arial" w:hAnsi="Arial"/>
                <w:b w:val="0"/>
                <w:color w:val="344054"/>
                <w:sz w:val="17"/>
              </w:rPr>
              <w:t>120.000</w:t>
            </w:r>
          </w:p>
        </w:tc>
        <w:tc>
          <w:tcPr>
            <w:tcW w:type="dxa" w:w="2592"/>
            <w:vAlign w:val="center"/>
          </w:tcPr>
          <w:p>
            <w:r/>
            <w:r>
              <w:rPr>
                <w:rFonts w:ascii="Arial" w:hAnsi="Arial"/>
                <w:b w:val="0"/>
                <w:color w:val="344054"/>
                <w:sz w:val="17"/>
              </w:rPr>
              <w:t>25.000</w:t>
            </w:r>
          </w:p>
        </w:tc>
        <w:tc>
          <w:tcPr>
            <w:tcW w:type="dxa" w:w="2592"/>
            <w:vAlign w:val="center"/>
          </w:tcPr>
          <w:p>
            <w:r/>
            <w:r>
              <w:rPr>
                <w:rFonts w:ascii="Arial" w:hAnsi="Arial"/>
                <w:b w:val="0"/>
                <w:color w:val="344054"/>
                <w:sz w:val="17"/>
              </w:rPr>
              <w:t>USD 0.09</w:t>
            </w:r>
          </w:p>
        </w:tc>
      </w:tr>
      <w:tr>
        <w:tc>
          <w:tcPr>
            <w:tcW w:type="dxa" w:w="2592"/>
            <w:vAlign w:val="center"/>
            <w:shd w:fill="F7FAFC"/>
          </w:tcPr>
          <w:p>
            <w:r/>
            <w:r>
              <w:rPr>
                <w:rFonts w:ascii="Arial" w:hAnsi="Arial"/>
                <w:b w:val="0"/>
                <w:color w:val="344054"/>
                <w:sz w:val="17"/>
              </w:rPr>
              <w:t>300</w:t>
            </w:r>
          </w:p>
        </w:tc>
        <w:tc>
          <w:tcPr>
            <w:tcW w:type="dxa" w:w="2592"/>
            <w:vAlign w:val="center"/>
            <w:shd w:fill="F7FAFC"/>
          </w:tcPr>
          <w:p>
            <w:r/>
            <w:r>
              <w:rPr>
                <w:rFonts w:ascii="Arial" w:hAnsi="Arial"/>
                <w:b w:val="0"/>
                <w:color w:val="344054"/>
                <w:sz w:val="17"/>
              </w:rPr>
              <w:t>360.000</w:t>
            </w:r>
          </w:p>
        </w:tc>
        <w:tc>
          <w:tcPr>
            <w:tcW w:type="dxa" w:w="2592"/>
            <w:vAlign w:val="center"/>
            <w:shd w:fill="F7FAFC"/>
          </w:tcPr>
          <w:p>
            <w:r/>
            <w:r>
              <w:rPr>
                <w:rFonts w:ascii="Arial" w:hAnsi="Arial"/>
                <w:b w:val="0"/>
                <w:color w:val="344054"/>
                <w:sz w:val="17"/>
              </w:rPr>
              <w:t>75.000</w:t>
            </w:r>
          </w:p>
        </w:tc>
        <w:tc>
          <w:tcPr>
            <w:tcW w:type="dxa" w:w="2592"/>
            <w:vAlign w:val="center"/>
            <w:shd w:fill="F7FAFC"/>
          </w:tcPr>
          <w:p>
            <w:r/>
            <w:r>
              <w:rPr>
                <w:rFonts w:ascii="Arial" w:hAnsi="Arial"/>
                <w:b w:val="0"/>
                <w:color w:val="344054"/>
                <w:sz w:val="17"/>
              </w:rPr>
              <w:t>USD 0.26</w:t>
            </w:r>
          </w:p>
        </w:tc>
      </w:tr>
      <w:tr>
        <w:tc>
          <w:tcPr>
            <w:tcW w:type="dxa" w:w="2592"/>
            <w:vAlign w:val="center"/>
          </w:tcPr>
          <w:p>
            <w:r/>
            <w:r>
              <w:rPr>
                <w:rFonts w:ascii="Arial" w:hAnsi="Arial"/>
                <w:b w:val="0"/>
                <w:color w:val="344054"/>
                <w:sz w:val="17"/>
              </w:rPr>
              <w:t>500</w:t>
            </w:r>
          </w:p>
        </w:tc>
        <w:tc>
          <w:tcPr>
            <w:tcW w:type="dxa" w:w="2592"/>
            <w:vAlign w:val="center"/>
          </w:tcPr>
          <w:p>
            <w:r/>
            <w:r>
              <w:rPr>
                <w:rFonts w:ascii="Arial" w:hAnsi="Arial"/>
                <w:b w:val="0"/>
                <w:color w:val="344054"/>
                <w:sz w:val="17"/>
              </w:rPr>
              <w:t>600.000</w:t>
            </w:r>
          </w:p>
        </w:tc>
        <w:tc>
          <w:tcPr>
            <w:tcW w:type="dxa" w:w="2592"/>
            <w:vAlign w:val="center"/>
          </w:tcPr>
          <w:p>
            <w:r/>
            <w:r>
              <w:rPr>
                <w:rFonts w:ascii="Arial" w:hAnsi="Arial"/>
                <w:b w:val="0"/>
                <w:color w:val="344054"/>
                <w:sz w:val="17"/>
              </w:rPr>
              <w:t>125.000</w:t>
            </w:r>
          </w:p>
        </w:tc>
        <w:tc>
          <w:tcPr>
            <w:tcW w:type="dxa" w:w="2592"/>
            <w:vAlign w:val="center"/>
          </w:tcPr>
          <w:p>
            <w:r/>
            <w:r>
              <w:rPr>
                <w:rFonts w:ascii="Arial" w:hAnsi="Arial"/>
                <w:b w:val="0"/>
                <w:color w:val="344054"/>
                <w:sz w:val="17"/>
              </w:rPr>
              <w:t>USD 0.44</w:t>
            </w:r>
          </w:p>
        </w:tc>
      </w:tr>
      <w:tr>
        <w:tc>
          <w:tcPr>
            <w:tcW w:type="dxa" w:w="2592"/>
            <w:vAlign w:val="center"/>
            <w:shd w:fill="F7FAFC"/>
          </w:tcPr>
          <w:p>
            <w:r/>
            <w:r>
              <w:rPr>
                <w:rFonts w:ascii="Arial" w:hAnsi="Arial"/>
                <w:b w:val="0"/>
                <w:color w:val="344054"/>
                <w:sz w:val="17"/>
              </w:rPr>
              <w:t>1000</w:t>
            </w:r>
          </w:p>
        </w:tc>
        <w:tc>
          <w:tcPr>
            <w:tcW w:type="dxa" w:w="2592"/>
            <w:vAlign w:val="center"/>
            <w:shd w:fill="F7FAFC"/>
          </w:tcPr>
          <w:p>
            <w:r/>
            <w:r>
              <w:rPr>
                <w:rFonts w:ascii="Arial" w:hAnsi="Arial"/>
                <w:b w:val="0"/>
                <w:color w:val="344054"/>
                <w:sz w:val="17"/>
              </w:rPr>
              <w:t>1.200.000</w:t>
            </w:r>
          </w:p>
        </w:tc>
        <w:tc>
          <w:tcPr>
            <w:tcW w:type="dxa" w:w="2592"/>
            <w:vAlign w:val="center"/>
            <w:shd w:fill="F7FAFC"/>
          </w:tcPr>
          <w:p>
            <w:r/>
            <w:r>
              <w:rPr>
                <w:rFonts w:ascii="Arial" w:hAnsi="Arial"/>
                <w:b w:val="0"/>
                <w:color w:val="344054"/>
                <w:sz w:val="17"/>
              </w:rPr>
              <w:t>250.000</w:t>
            </w:r>
          </w:p>
        </w:tc>
        <w:tc>
          <w:tcPr>
            <w:tcW w:type="dxa" w:w="2592"/>
            <w:vAlign w:val="center"/>
            <w:shd w:fill="F7FAFC"/>
          </w:tcPr>
          <w:p>
            <w:r/>
            <w:r>
              <w:rPr>
                <w:rFonts w:ascii="Arial" w:hAnsi="Arial"/>
                <w:b w:val="0"/>
                <w:color w:val="344054"/>
                <w:sz w:val="17"/>
              </w:rPr>
              <w:t>USD 0.88</w:t>
            </w:r>
          </w:p>
        </w:tc>
      </w:tr>
    </w:tbl>
    <w:tbl>
      <w:tblPr>
        <w:tblW w:type="auto" w:w="0"/>
        <w:jc w:val="center"/>
        <w:tblLook w:firstColumn="1" w:firstRow="1" w:lastColumn="0" w:lastRow="0" w:noHBand="0" w:noVBand="1" w:val="04A0"/>
      </w:tblPr>
      <w:tblGrid>
        <w:gridCol w:w="10368"/>
      </w:tblGrid>
      <w:tr>
        <w:tc>
          <w:tcPr>
            <w:tcW w:type="dxa" w:w="10368"/>
            <w:shd w:fill="FFF0DB"/>
          </w:tcPr>
          <w:p>
            <w:pPr>
              <w:spacing w:after="0"/>
            </w:pPr>
            <w:r>
              <w:rPr>
                <w:rFonts w:ascii="Arial" w:hAnsi="Arial"/>
                <w:b/>
                <w:color w:val="17324D"/>
                <w:sz w:val="18"/>
              </w:rPr>
              <w:t>Costo estimado por consulta de IA: USD 0.00088. Incluso 1.000 consultas representarían cerca de USD 0.88.</w:t>
            </w:r>
          </w:p>
        </w:tc>
      </w:tr>
    </w:tbl>
    <w:p>
      <w:pPr>
        <w:spacing w:after="40"/>
      </w:pPr>
      <w:r>
        <w:br w:type="page"/>
      </w:r>
    </w:p>
    <w:p>
      <w:pPr>
        <w:pStyle w:val="Heading1"/>
      </w:pPr>
      <w:r>
        <w:t>5. Matriz de selección de modelos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75884"/>
          </w:tcPr>
          <w:p>
            <w:r/>
            <w:r>
              <w:rPr>
                <w:rFonts w:ascii="Arial" w:hAnsi="Arial"/>
                <w:b/>
                <w:color w:val="FFFFFF"/>
                <w:sz w:val="15"/>
              </w:rPr>
              <w:t>Tipo de tarea</w:t>
            </w:r>
          </w:p>
        </w:tc>
        <w:tc>
          <w:tcPr>
            <w:tcW w:type="dxa" w:w="2592"/>
            <w:vAlign w:val="center"/>
            <w:shd w:fill="275884"/>
          </w:tcPr>
          <w:p>
            <w:r/>
            <w:r>
              <w:rPr>
                <w:rFonts w:ascii="Arial" w:hAnsi="Arial"/>
                <w:b/>
                <w:color w:val="FFFFFF"/>
                <w:sz w:val="15"/>
              </w:rPr>
              <w:t>Modelo/estrategia</w:t>
            </w:r>
          </w:p>
        </w:tc>
        <w:tc>
          <w:tcPr>
            <w:tcW w:type="dxa" w:w="2592"/>
            <w:vAlign w:val="center"/>
            <w:shd w:fill="275884"/>
          </w:tcPr>
          <w:p>
            <w:r/>
            <w:r>
              <w:rPr>
                <w:rFonts w:ascii="Arial" w:hAnsi="Arial"/>
                <w:b/>
                <w:color w:val="FFFFFF"/>
                <w:sz w:val="15"/>
              </w:rPr>
              <w:t>Justificación</w:t>
            </w:r>
          </w:p>
        </w:tc>
        <w:tc>
          <w:tcPr>
            <w:tcW w:type="dxa" w:w="2592"/>
            <w:vAlign w:val="center"/>
            <w:shd w:fill="275884"/>
          </w:tcPr>
          <w:p>
            <w:r/>
            <w:r>
              <w:rPr>
                <w:rFonts w:ascii="Arial" w:hAnsi="Arial"/>
                <w:b/>
                <w:color w:val="FFFFFF"/>
                <w:sz w:val="15"/>
              </w:rPr>
              <w:t>Uso en este proyecto</w:t>
            </w:r>
          </w:p>
        </w:tc>
      </w:tr>
      <w:tr>
        <w:tc>
          <w:tcPr>
            <w:tcW w:type="dxa" w:w="2592"/>
            <w:vAlign w:val="center"/>
          </w:tcPr>
          <w:p>
            <w:r/>
            <w:r>
              <w:rPr>
                <w:rFonts w:ascii="Arial" w:hAnsi="Arial"/>
                <w:b w:val="0"/>
                <w:color w:val="344054"/>
                <w:sz w:val="15"/>
              </w:rPr>
              <w:t>Clasificar correos breves y redactar respuestas</w:t>
            </w:r>
          </w:p>
        </w:tc>
        <w:tc>
          <w:tcPr>
            <w:tcW w:type="dxa" w:w="2592"/>
            <w:vAlign w:val="center"/>
          </w:tcPr>
          <w:p>
            <w:r/>
            <w:r>
              <w:rPr>
                <w:rFonts w:ascii="Arial" w:hAnsi="Arial"/>
                <w:b w:val="0"/>
                <w:color w:val="344054"/>
                <w:sz w:val="15"/>
              </w:rPr>
              <w:t>GPT-4.1 mini en tiempo real</w:t>
            </w:r>
          </w:p>
        </w:tc>
        <w:tc>
          <w:tcPr>
            <w:tcW w:type="dxa" w:w="2592"/>
            <w:vAlign w:val="center"/>
          </w:tcPr>
          <w:p>
            <w:r/>
            <w:r>
              <w:rPr>
                <w:rFonts w:ascii="Arial" w:hAnsi="Arial"/>
                <w:b w:val="0"/>
                <w:color w:val="344054"/>
                <w:sz w:val="15"/>
              </w:rPr>
              <w:t>Bajo costo, buena velocidad y salida estructurada</w:t>
            </w:r>
          </w:p>
        </w:tc>
        <w:tc>
          <w:tcPr>
            <w:tcW w:type="dxa" w:w="2592"/>
            <w:vAlign w:val="center"/>
          </w:tcPr>
          <w:p>
            <w:r/>
            <w:r>
              <w:rPr>
                <w:rFonts w:ascii="Arial" w:hAnsi="Arial"/>
                <w:b w:val="0"/>
                <w:color w:val="344054"/>
                <w:sz w:val="15"/>
              </w:rPr>
              <w:t>Sí, es la opción implementada</w:t>
            </w:r>
          </w:p>
        </w:tc>
      </w:tr>
      <w:tr>
        <w:tc>
          <w:tcPr>
            <w:tcW w:type="dxa" w:w="2592"/>
            <w:vAlign w:val="center"/>
            <w:shd w:fill="F7FAFC"/>
          </w:tcPr>
          <w:p>
            <w:r/>
            <w:r>
              <w:rPr>
                <w:rFonts w:ascii="Arial" w:hAnsi="Arial"/>
                <w:b w:val="0"/>
                <w:color w:val="344054"/>
                <w:sz w:val="15"/>
              </w:rPr>
              <w:t>Extraer un dato simple o etiquetar grandes volúmenes</w:t>
            </w:r>
          </w:p>
        </w:tc>
        <w:tc>
          <w:tcPr>
            <w:tcW w:type="dxa" w:w="2592"/>
            <w:vAlign w:val="center"/>
            <w:shd w:fill="F7FAFC"/>
          </w:tcPr>
          <w:p>
            <w:r/>
            <w:r>
              <w:rPr>
                <w:rFonts w:ascii="Arial" w:hAnsi="Arial"/>
                <w:b w:val="0"/>
                <w:color w:val="344054"/>
                <w:sz w:val="15"/>
              </w:rPr>
              <w:t>Modelo mini/nano o Batch</w:t>
            </w:r>
          </w:p>
        </w:tc>
        <w:tc>
          <w:tcPr>
            <w:tcW w:type="dxa" w:w="2592"/>
            <w:vAlign w:val="center"/>
            <w:shd w:fill="F7FAFC"/>
          </w:tcPr>
          <w:p>
            <w:r/>
            <w:r>
              <w:rPr>
                <w:rFonts w:ascii="Arial" w:hAnsi="Arial"/>
                <w:b w:val="0"/>
                <w:color w:val="344054"/>
                <w:sz w:val="15"/>
              </w:rPr>
              <w:t>Reduce costo cuando la complejidad es baja</w:t>
            </w:r>
          </w:p>
        </w:tc>
        <w:tc>
          <w:tcPr>
            <w:tcW w:type="dxa" w:w="2592"/>
            <w:vAlign w:val="center"/>
            <w:shd w:fill="F7FAFC"/>
          </w:tcPr>
          <w:p>
            <w:r/>
            <w:r>
              <w:rPr>
                <w:rFonts w:ascii="Arial" w:hAnsi="Arial"/>
                <w:b w:val="0"/>
                <w:color w:val="344054"/>
                <w:sz w:val="15"/>
              </w:rPr>
              <w:t>Posible evolución</w:t>
            </w:r>
          </w:p>
        </w:tc>
      </w:tr>
      <w:tr>
        <w:tc>
          <w:tcPr>
            <w:tcW w:type="dxa" w:w="2592"/>
            <w:vAlign w:val="center"/>
          </w:tcPr>
          <w:p>
            <w:r/>
            <w:r>
              <w:rPr>
                <w:rFonts w:ascii="Arial" w:hAnsi="Arial"/>
                <w:b w:val="0"/>
                <w:color w:val="344054"/>
                <w:sz w:val="15"/>
              </w:rPr>
              <w:t>Analizar contratos, PDFs extensos o contradicciones</w:t>
            </w:r>
          </w:p>
        </w:tc>
        <w:tc>
          <w:tcPr>
            <w:tcW w:type="dxa" w:w="2592"/>
            <w:vAlign w:val="center"/>
          </w:tcPr>
          <w:p>
            <w:r/>
            <w:r>
              <w:rPr>
                <w:rFonts w:ascii="Arial" w:hAnsi="Arial"/>
                <w:b w:val="0"/>
                <w:color w:val="344054"/>
                <w:sz w:val="15"/>
              </w:rPr>
              <w:t>Claude Sonnet</w:t>
            </w:r>
          </w:p>
        </w:tc>
        <w:tc>
          <w:tcPr>
            <w:tcW w:type="dxa" w:w="2592"/>
            <w:vAlign w:val="center"/>
          </w:tcPr>
          <w:p>
            <w:r/>
            <w:r>
              <w:rPr>
                <w:rFonts w:ascii="Arial" w:hAnsi="Arial"/>
                <w:b w:val="0"/>
                <w:color w:val="344054"/>
                <w:sz w:val="15"/>
              </w:rPr>
              <w:t>Mejor encaje para contexto largo y razonamiento documental</w:t>
            </w:r>
          </w:p>
        </w:tc>
        <w:tc>
          <w:tcPr>
            <w:tcW w:type="dxa" w:w="2592"/>
            <w:vAlign w:val="center"/>
          </w:tcPr>
          <w:p>
            <w:r/>
            <w:r>
              <w:rPr>
                <w:rFonts w:ascii="Arial" w:hAnsi="Arial"/>
                <w:b w:val="0"/>
                <w:color w:val="344054"/>
                <w:sz w:val="15"/>
              </w:rPr>
              <w:t>No necesario en el caso actual</w:t>
            </w:r>
          </w:p>
        </w:tc>
      </w:tr>
      <w:tr>
        <w:tc>
          <w:tcPr>
            <w:tcW w:type="dxa" w:w="2592"/>
            <w:vAlign w:val="center"/>
            <w:shd w:fill="F7FAFC"/>
          </w:tcPr>
          <w:p>
            <w:r/>
            <w:r>
              <w:rPr>
                <w:rFonts w:ascii="Arial" w:hAnsi="Arial"/>
                <w:b w:val="0"/>
                <w:color w:val="344054"/>
                <w:sz w:val="15"/>
              </w:rPr>
              <w:t>Procesar cientos o miles de registros sin urgencia</w:t>
            </w:r>
          </w:p>
        </w:tc>
        <w:tc>
          <w:tcPr>
            <w:tcW w:type="dxa" w:w="2592"/>
            <w:vAlign w:val="center"/>
            <w:shd w:fill="F7FAFC"/>
          </w:tcPr>
          <w:p>
            <w:r/>
            <w:r>
              <w:rPr>
                <w:rFonts w:ascii="Arial" w:hAnsi="Arial"/>
                <w:b w:val="0"/>
                <w:color w:val="344054"/>
                <w:sz w:val="15"/>
              </w:rPr>
              <w:t>Message Batches</w:t>
            </w:r>
          </w:p>
        </w:tc>
        <w:tc>
          <w:tcPr>
            <w:tcW w:type="dxa" w:w="2592"/>
            <w:vAlign w:val="center"/>
            <w:shd w:fill="F7FAFC"/>
          </w:tcPr>
          <w:p>
            <w:r/>
            <w:r>
              <w:rPr>
                <w:rFonts w:ascii="Arial" w:hAnsi="Arial"/>
                <w:b w:val="0"/>
                <w:color w:val="344054"/>
                <w:sz w:val="15"/>
              </w:rPr>
              <w:t>50% de descuento; respuesta no inmediata</w:t>
            </w:r>
          </w:p>
        </w:tc>
        <w:tc>
          <w:tcPr>
            <w:tcW w:type="dxa" w:w="2592"/>
            <w:vAlign w:val="center"/>
            <w:shd w:fill="F7FAFC"/>
          </w:tcPr>
          <w:p>
            <w:r/>
            <w:r>
              <w:rPr>
                <w:rFonts w:ascii="Arial" w:hAnsi="Arial"/>
                <w:b w:val="0"/>
                <w:color w:val="344054"/>
                <w:sz w:val="15"/>
              </w:rPr>
              <w:t>No usar para atención al cliente en vivo</w:t>
            </w:r>
          </w:p>
        </w:tc>
      </w:tr>
      <w:tr>
        <w:tc>
          <w:tcPr>
            <w:tcW w:type="dxa" w:w="2592"/>
            <w:vAlign w:val="center"/>
          </w:tcPr>
          <w:p>
            <w:r/>
            <w:r>
              <w:rPr>
                <w:rFonts w:ascii="Arial" w:hAnsi="Arial"/>
                <w:b w:val="0"/>
                <w:color w:val="344054"/>
                <w:sz w:val="15"/>
              </w:rPr>
              <w:t>Reutilizar instrucciones o manuales largos</w:t>
            </w:r>
          </w:p>
        </w:tc>
        <w:tc>
          <w:tcPr>
            <w:tcW w:type="dxa" w:w="2592"/>
            <w:vAlign w:val="center"/>
          </w:tcPr>
          <w:p>
            <w:r/>
            <w:r>
              <w:rPr>
                <w:rFonts w:ascii="Arial" w:hAnsi="Arial"/>
                <w:b w:val="0"/>
                <w:color w:val="344054"/>
                <w:sz w:val="15"/>
              </w:rPr>
              <w:t>Prompt caching</w:t>
            </w:r>
          </w:p>
        </w:tc>
        <w:tc>
          <w:tcPr>
            <w:tcW w:type="dxa" w:w="2592"/>
            <w:vAlign w:val="center"/>
          </w:tcPr>
          <w:p>
            <w:r/>
            <w:r>
              <w:rPr>
                <w:rFonts w:ascii="Arial" w:hAnsi="Arial"/>
                <w:b w:val="0"/>
                <w:color w:val="344054"/>
                <w:sz w:val="15"/>
              </w:rPr>
              <w:t>Evita pagar repetidamente por contexto estático</w:t>
            </w:r>
          </w:p>
        </w:tc>
        <w:tc>
          <w:tcPr>
            <w:tcW w:type="dxa" w:w="2592"/>
            <w:vAlign w:val="center"/>
          </w:tcPr>
          <w:p>
            <w:r/>
            <w:r>
              <w:rPr>
                <w:rFonts w:ascii="Arial" w:hAnsi="Arial"/>
                <w:b w:val="0"/>
                <w:color w:val="344054"/>
                <w:sz w:val="15"/>
              </w:rPr>
              <w:t>Útil si se incorpora una base extensa de políticas</w:t>
            </w:r>
          </w:p>
        </w:tc>
      </w:tr>
      <w:tr>
        <w:tc>
          <w:tcPr>
            <w:tcW w:type="dxa" w:w="2592"/>
            <w:vAlign w:val="center"/>
            <w:shd w:fill="F7FAFC"/>
          </w:tcPr>
          <w:p>
            <w:r/>
            <w:r>
              <w:rPr>
                <w:rFonts w:ascii="Arial" w:hAnsi="Arial"/>
                <w:b w:val="0"/>
                <w:color w:val="344054"/>
                <w:sz w:val="15"/>
              </w:rPr>
              <w:t>Responder al cliente en segundos</w:t>
            </w:r>
          </w:p>
        </w:tc>
        <w:tc>
          <w:tcPr>
            <w:tcW w:type="dxa" w:w="2592"/>
            <w:vAlign w:val="center"/>
            <w:shd w:fill="F7FAFC"/>
          </w:tcPr>
          <w:p>
            <w:r/>
            <w:r>
              <w:rPr>
                <w:rFonts w:ascii="Arial" w:hAnsi="Arial"/>
                <w:b w:val="0"/>
                <w:color w:val="344054"/>
                <w:sz w:val="15"/>
              </w:rPr>
              <w:t>Llamada estándar en tiempo real</w:t>
            </w:r>
          </w:p>
        </w:tc>
        <w:tc>
          <w:tcPr>
            <w:tcW w:type="dxa" w:w="2592"/>
            <w:vAlign w:val="center"/>
            <w:shd w:fill="F7FAFC"/>
          </w:tcPr>
          <w:p>
            <w:r/>
            <w:r>
              <w:rPr>
                <w:rFonts w:ascii="Arial" w:hAnsi="Arial"/>
                <w:b w:val="0"/>
                <w:color w:val="344054"/>
                <w:sz w:val="15"/>
              </w:rPr>
              <w:t>Batch puede demorar y no sirve para interacción inmediata</w:t>
            </w:r>
          </w:p>
        </w:tc>
        <w:tc>
          <w:tcPr>
            <w:tcW w:type="dxa" w:w="2592"/>
            <w:vAlign w:val="center"/>
            <w:shd w:fill="F7FAFC"/>
          </w:tcPr>
          <w:p>
            <w:r/>
            <w:r>
              <w:rPr>
                <w:rFonts w:ascii="Arial" w:hAnsi="Arial"/>
                <w:b w:val="0"/>
                <w:color w:val="344054"/>
                <w:sz w:val="15"/>
              </w:rPr>
              <w:t>Sí</w:t>
            </w:r>
          </w:p>
        </w:tc>
      </w:tr>
    </w:tbl>
    <w:p>
      <w:pPr>
        <w:pStyle w:val="Heading1"/>
      </w:pPr>
      <w:r>
        <w:t>6. Estrategia recomendada por etapa</w:t>
      </w:r>
    </w:p>
    <w:p>
      <w:pPr>
        <w:spacing w:after="40"/>
      </w:pPr>
      <w:r>
        <w:rPr>
          <w:b/>
          <w:color w:val="275884"/>
        </w:rPr>
        <w:t xml:space="preserve">Etapa 1 - Validación: </w:t>
      </w:r>
      <w:r>
        <w:t>Make Free + Airtable Free + GPT-4.1 mini. Mantener las pruebas y el volumen por debajo de 1.000 créditos mensuales.</w:t>
      </w:r>
    </w:p>
    <w:p>
      <w:pPr>
        <w:spacing w:after="40"/>
      </w:pPr>
      <w:r>
        <w:rPr>
          <w:b/>
          <w:color w:val="275884"/>
        </w:rPr>
        <w:t xml:space="preserve">Etapa 2 - Operación pequeña: </w:t>
      </w:r>
      <w:r>
        <w:t>Migrar Make a Core cuando el flujo supere aproximadamente 111 consultas completas al mes o cuando se necesite ejecución más frecuente.</w:t>
      </w:r>
    </w:p>
    <w:p>
      <w:pPr>
        <w:spacing w:after="40"/>
      </w:pPr>
      <w:r>
        <w:rPr>
          <w:b/>
          <w:color w:val="275884"/>
        </w:rPr>
        <w:t xml:space="preserve">Etapa 3 - Escala: </w:t>
      </w:r>
      <w:r>
        <w:t>Medir tokens reales, reducir texto innecesario del prompt, agregar caché si existe contexto repetitivo y separar procesos urgentes de procesos por lotes.</w:t>
      </w:r>
    </w:p>
    <w:p>
      <w:pPr>
        <w:spacing w:after="40"/>
      </w:pPr>
      <w:r>
        <w:rPr>
          <w:b/>
          <w:color w:val="275884"/>
        </w:rPr>
        <w:t xml:space="preserve">Etapa 4 - Documentos complejos: </w:t>
      </w:r>
      <w:r>
        <w:t>Derivar únicamente los casos con adjuntos extensos a Claude; no pagar un modelo más caro para todos los correos.</w:t>
      </w:r>
    </w:p>
    <w:p>
      <w:pPr>
        <w:pStyle w:val="Heading1"/>
      </w:pPr>
      <w:r>
        <w:t>7. Controles para evitar sobrecostos</w:t>
      </w:r>
    </w:p>
    <w:p>
      <w:pPr>
        <w:pStyle w:val="ListBullet"/>
      </w:pPr>
      <w:r>
        <w:t>Mantener un solo llamado a OpenAI por consulta.</w:t>
      </w:r>
    </w:p>
    <w:p>
      <w:pPr>
        <w:pStyle w:val="ListBullet"/>
      </w:pPr>
      <w:r>
        <w:t>Filtrar correos automáticos, spam y remitentes no deseados antes del módulo de IA.</w:t>
      </w:r>
    </w:p>
    <w:p>
      <w:pPr>
        <w:pStyle w:val="ListBullet"/>
      </w:pPr>
      <w:r>
        <w:t>Conservar el HITL para evitar envíos erróneos y retrabajo.</w:t>
      </w:r>
    </w:p>
    <w:p>
      <w:pPr>
        <w:pStyle w:val="ListBullet"/>
      </w:pPr>
      <w:r>
        <w:t>Impedir bucles de correo mediante filtros para respuestas automáticas y remitentes propios.</w:t>
      </w:r>
    </w:p>
    <w:p>
      <w:pPr>
        <w:pStyle w:val="ListBullet"/>
      </w:pPr>
      <w:r>
        <w:t>Limitar la longitud del cuerpo enviado al modelo cuando el hilo sea demasiado extenso.</w:t>
      </w:r>
    </w:p>
    <w:p>
      <w:pPr>
        <w:pStyle w:val="ListBullet"/>
      </w:pPr>
      <w:r>
        <w:t>Revisar mensualmente créditos de Make y tokens de OpenAI.</w:t>
      </w:r>
    </w:p>
    <w:p>
      <w:pPr>
        <w:pStyle w:val="ListBullet"/>
      </w:pPr>
      <w:r>
        <w:t>Configurar alertas de presupuesto y evitar recargas automáticas sin límite.</w:t>
      </w:r>
    </w:p>
    <w:p>
      <w:pPr>
        <w:pStyle w:val="ListBullet"/>
      </w:pPr>
      <w:r>
        <w:t>Usar Batch únicamente en procesos no urgentes.</w:t>
      </w:r>
    </w:p>
    <w:p>
      <w:pPr>
        <w:pStyle w:val="Heading1"/>
      </w:pPr>
      <w:r>
        <w:t>8. Conclusión y decisión final</w:t>
      </w:r>
    </w:p>
    <w:p>
      <w:pPr>
        <w:spacing w:after="40"/>
      </w:pPr>
      <w:r>
        <w:t>La arquitectura actual es económicamente eficiente porque utiliza herramientas gratuitas para la etapa de validación y un modelo de bajo costo para una tarea breve. La primera restricción que probablemente aparecerá no será el costo de OpenAI, sino el límite mensual de créditos de Make. Por eso, la decisión recomendada es conservar GPT-4.1 mini y Airtable Free, y pasar a Make Core solo cuando el volumen operativo lo justifique. Claude, Batches y caché quedan documentados como estrategias de escalamiento, pero no se implementan porque no aportan valor adicional al flujo actual.</w:t>
      </w:r>
    </w:p>
    <w:p>
      <w:pPr>
        <w:pStyle w:val="Heading1"/>
        <w:spacing w:before="80" w:after="40"/>
      </w:pPr>
      <w:r>
        <w:t>9. Fuentes oficiales consultadas</w:t>
      </w:r>
    </w:p>
    <w:p>
      <w:pPr>
        <w:pStyle w:val="ListBullet"/>
        <w:spacing w:before="0" w:after="0" w:line="216" w:lineRule="auto"/>
      </w:pPr>
      <w:r>
        <w:rPr>
          <w:sz w:val="15"/>
        </w:rPr>
        <w:t>OpenAI API - GPT-4.1 mini: developers.openai.com/api/docs/models/gpt-4.1-mini</w:t>
      </w:r>
    </w:p>
    <w:p>
      <w:pPr>
        <w:pStyle w:val="ListBullet"/>
        <w:spacing w:before="0" w:after="0" w:line="216" w:lineRule="auto"/>
      </w:pPr>
      <w:r>
        <w:rPr>
          <w:sz w:val="15"/>
        </w:rPr>
        <w:t>OpenAI - Introducing GPT-4.1 in the API: openai.com/index/gpt-4-1/</w:t>
      </w:r>
    </w:p>
    <w:p>
      <w:pPr>
        <w:pStyle w:val="ListBullet"/>
        <w:spacing w:before="0" w:after="0" w:line="216" w:lineRule="auto"/>
      </w:pPr>
      <w:r>
        <w:rPr>
          <w:sz w:val="15"/>
        </w:rPr>
        <w:t>Anthropic - Introducing the Message Batches API: anthropic.com/news/message-batches-api</w:t>
      </w:r>
    </w:p>
    <w:p>
      <w:pPr>
        <w:pStyle w:val="ListBullet"/>
        <w:spacing w:before="0" w:after="0" w:line="216" w:lineRule="auto"/>
      </w:pPr>
      <w:r>
        <w:rPr>
          <w:sz w:val="15"/>
        </w:rPr>
        <w:t>Make - Pricing: make.com/en/pricing</w:t>
      </w:r>
    </w:p>
    <w:p>
      <w:pPr>
        <w:pStyle w:val="ListBullet"/>
        <w:spacing w:before="0" w:after="0" w:line="216" w:lineRule="auto"/>
      </w:pPr>
      <w:r>
        <w:rPr>
          <w:sz w:val="15"/>
        </w:rPr>
        <w:t>Make Help Center - Credits: help.make.com/credits</w:t>
      </w:r>
    </w:p>
    <w:p>
      <w:pPr>
        <w:pStyle w:val="ListBullet"/>
        <w:spacing w:before="0" w:after="0" w:line="216" w:lineRule="auto"/>
      </w:pPr>
      <w:r>
        <w:rPr>
          <w:sz w:val="15"/>
        </w:rPr>
        <w:t>Airtable - Pricing: airtable.com/pricing</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7085"/>
        <w:sz w:val="16"/>
      </w:rPr>
      <w:t>Proyecto Final · IA Automation · Estrategia de Optimización de Costos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4405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758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