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4e963329963ffa48e02aaf7f444bb027d5dfd48c.png"/>
            <a:graphic>
              <a:graphicData uri="http://schemas.openxmlformats.org/drawingml/2006/picture">
                <pic:pic>
                  <pic:nvPicPr>
                    <pic:cNvPr id="1" name="image-4e963329963ffa48e02aaf7f444bb027d5dfd48c.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Humans and AI are different in how they synthesize and transcend existing information- explain</w:t>
      </w:r>
    </w:p>
    <w:p>
      <w:pPr>
        <w:spacing w:line="360" w:after="210" w:lineRule="auto"/>
      </w:pPr>
      <w:r>
        <w:rPr>
          <w:rFonts w:eastAsia="inter" w:cs="inter" w:ascii="inter" w:hAnsi="inter"/>
          <w:color w:val="000000"/>
        </w:rPr>
        <w:t xml:space="preserve">Humans and artificial intelligence (AI) differ fundamentally in their approaches to synthesizing and transcending information, reflecting distinct cognitive architectures and creative processes. These differences manifest in consciousness, intentionality, and the depth of contextual understanding. Below is a structured analysis: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Synthesis of Information</w:t>
      </w:r>
    </w:p>
    <w:p>
      <w:pPr>
        <w:spacing w:line="360" w:before="315" w:after="105" w:lineRule="auto"/>
        <w:ind w:left="-30"/>
        <w:jc w:val="left"/>
      </w:pPr>
      <w:r>
        <w:rPr>
          <w:rFonts w:eastAsia="inter" w:cs="inter" w:ascii="inter" w:hAnsi="inter"/>
          <w:b/>
          <w:color w:val="000000"/>
          <w:sz w:val="24"/>
        </w:rPr>
        <w:t xml:space="preserve">Human Synthesis</w:t>
      </w:r>
    </w:p>
    <w:p>
      <w:pPr>
        <w:numPr>
          <w:ilvl w:val="0"/>
          <w:numId w:val="1"/>
        </w:numPr>
        <w:spacing w:line="360" w:before="105" w:after="105" w:lineRule="auto"/>
      </w:pPr>
      <w:r>
        <w:rPr>
          <w:rFonts w:eastAsia="inter" w:cs="inter" w:ascii="inter" w:hAnsi="inter"/>
          <w:b/>
          <w:color w:val="000000"/>
          <w:sz w:val="21"/>
        </w:rPr>
        <w:t xml:space="preserve">Conscious integration</w:t>
      </w:r>
      <w:r>
        <w:rPr>
          <w:rFonts w:eastAsia="inter" w:cs="inter" w:ascii="inter" w:hAnsi="inter"/>
          <w:color w:val="000000"/>
          <w:sz w:val="21"/>
        </w:rPr>
        <w:t xml:space="preserve">: Humans combine sensory input, emotions, memories, and cultural context into cohesive understanding. For example, a musician composing a symphony draws on technical knowledge, emotional experiences, and cultural influences to create novel harmonies</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Trans-disciplinary thinking</w:t>
      </w:r>
      <w:r>
        <w:rPr>
          <w:rFonts w:eastAsia="inter" w:cs="inter" w:ascii="inter" w:hAnsi="inter"/>
          <w:color w:val="000000"/>
          <w:sz w:val="21"/>
        </w:rPr>
        <w:t xml:space="preserve">: Humans employ skills like abstraction, patterning, and embodied thinking to merge ideas across domains. Philosopher Margaret Boden identifies this as "combinatorial creativity," where existing concepts are reworked into innovative solutions</w:t>
      </w:r>
      <w:bookmarkStart w:id="2" w:name="fnref1:1"/>
      <w:bookmarkEnd w:id="2"/>
      <w:hyperlink w:anchor="fn1">
        <w:r>
          <w:rPr>
            <w:rFonts w:eastAsia="inter" w:cs="inter" w:ascii="inter" w:hAnsi="inter"/>
            <w:color w:val="#000"/>
            <w:sz w:val="21"/>
            <w:u w:val="single"/>
            <w:vertAlign w:val="superscript"/>
          </w:rPr>
          <w:t xml:space="preserve">[1]</w:t>
        </w:r>
      </w:hyperlink>
      <w:bookmarkStart w:id="3" w:name="fnref3"/>
      <w:bookmarkEnd w:id="3"/>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Ethical and emotional grounding</w:t>
      </w:r>
      <w:r>
        <w:rPr>
          <w:rFonts w:eastAsia="inter" w:cs="inter" w:ascii="inter" w:hAnsi="inter"/>
          <w:color w:val="000000"/>
          <w:sz w:val="21"/>
        </w:rPr>
        <w:t xml:space="preserve">: Human synthesis is guided by subjective experiences and moral frameworks. A writer crafting a novel about grief infuses personal loss into their work, creating emotional resonance AI cannot replicate</w:t>
      </w:r>
      <w:bookmarkStart w:id="4" w:name="fnref4"/>
      <w:bookmarkEnd w:id="4"/>
      <w:hyperlink w:anchor="fn4">
        <w:r>
          <w:rPr>
            <w:rFonts w:eastAsia="inter" w:cs="inter" w:ascii="inter" w:hAnsi="inter"/>
            <w:color w:val="#000"/>
            <w:sz w:val="21"/>
            <w:u w:val="single"/>
            <w:vertAlign w:val="superscript"/>
          </w:rPr>
          <w:t xml:space="preserve">[4]</w:t>
        </w:r>
      </w:hyperlink>
      <w:bookmarkStart w:id="5" w:name="fnref3:1"/>
      <w:bookmarkEnd w:id="5"/>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AI Synthesis</w:t>
      </w:r>
    </w:p>
    <w:p>
      <w:pPr>
        <w:numPr>
          <w:ilvl w:val="0"/>
          <w:numId w:val="2"/>
        </w:numPr>
        <w:spacing w:line="360" w:before="105" w:after="105" w:lineRule="auto"/>
      </w:pPr>
      <w:r>
        <w:rPr>
          <w:rFonts w:eastAsia="inter" w:cs="inter" w:ascii="inter" w:hAnsi="inter"/>
          <w:b/>
          <w:color w:val="000000"/>
          <w:sz w:val="21"/>
        </w:rPr>
        <w:t xml:space="preserve">Statistical recombination</w:t>
      </w:r>
      <w:r>
        <w:rPr>
          <w:rFonts w:eastAsia="inter" w:cs="inter" w:ascii="inter" w:hAnsi="inter"/>
          <w:color w:val="000000"/>
          <w:sz w:val="21"/>
        </w:rPr>
        <w:t xml:space="preserve">: AI like GPT-4 or DALL-E identifies patterns in training data to generate outputs. For instance, an AI might blend Renaissance art styles with cyberpunk themes based on frequency in its dataset, but without understanding cultural context</w:t>
      </w:r>
      <w:bookmarkStart w:id="6" w:name="fnref5"/>
      <w:bookmarkEnd w:id="6"/>
      <w:hyperlink w:anchor="fn5">
        <w:r>
          <w:rPr>
            <w:rFonts w:eastAsia="inter" w:cs="inter" w:ascii="inter" w:hAnsi="inter"/>
            <w:color w:val="#000"/>
            <w:sz w:val="21"/>
            <w:u w:val="single"/>
            <w:vertAlign w:val="superscript"/>
          </w:rPr>
          <w:t xml:space="preserve">[5]</w:t>
        </w:r>
      </w:hyperlink>
      <w:bookmarkStart w:id="7" w:name="fnref6"/>
      <w:bookmarkEnd w:id="7"/>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Scale over depth</w:t>
      </w:r>
      <w:r>
        <w:rPr>
          <w:rFonts w:eastAsia="inter" w:cs="inter" w:ascii="inter" w:hAnsi="inter"/>
          <w:color w:val="000000"/>
          <w:sz w:val="21"/>
        </w:rPr>
        <w:t xml:space="preserve">: AI processes vast datasets (e.g., millions of legal cases) to predict likely outcomes, yet lacks the jurist’s ability to weigh ethical implications or societal impact</w:t>
      </w:r>
      <w:bookmarkStart w:id="8" w:name="fnref4:1"/>
      <w:bookmarkEnd w:id="8"/>
      <w:hyperlink w:anchor="fn4">
        <w:r>
          <w:rPr>
            <w:rFonts w:eastAsia="inter" w:cs="inter" w:ascii="inter" w:hAnsi="inter"/>
            <w:color w:val="#000"/>
            <w:sz w:val="21"/>
            <w:u w:val="single"/>
            <w:vertAlign w:val="superscript"/>
          </w:rPr>
          <w:t xml:space="preserve">[4]</w:t>
        </w:r>
      </w:hyperlink>
      <w:bookmarkStart w:id="9" w:name="fnref6:1"/>
      <w:bookmarkEnd w:id="9"/>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Bias amplification</w:t>
      </w:r>
      <w:r>
        <w:rPr>
          <w:rFonts w:eastAsia="inter" w:cs="inter" w:ascii="inter" w:hAnsi="inter"/>
          <w:color w:val="000000"/>
          <w:sz w:val="21"/>
        </w:rPr>
        <w:t xml:space="preserve">: Training on culturally skewed data leads to derivative outputs. Prompts for "wealthy individuals" often default to Western stereotypes, reflecting data imbalances rather than intentional creativity</w:t>
      </w:r>
      <w:bookmarkStart w:id="10" w:name="fnref6:2"/>
      <w:bookmarkEnd w:id="10"/>
      <w:hyperlink w:anchor="fn6">
        <w:r>
          <w:rPr>
            <w:rFonts w:eastAsia="inter" w:cs="inter" w:ascii="inter" w:hAnsi="inter"/>
            <w:color w:val="#000"/>
            <w:sz w:val="21"/>
            <w:u w:val="single"/>
            <w:vertAlign w:val="superscript"/>
          </w:rPr>
          <w:t xml:space="preserve">[6]</w:t>
        </w:r>
      </w:hyperlink>
      <w:bookmarkStart w:id="11" w:name="fnref3:2"/>
      <w:bookmarkEnd w:id="11"/>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Transcending Information</w:t>
      </w:r>
    </w:p>
    <w:p>
      <w:pPr>
        <w:spacing w:line="360" w:before="315" w:after="105" w:lineRule="auto"/>
        <w:ind w:left="-30"/>
        <w:jc w:val="left"/>
      </w:pPr>
      <w:r>
        <w:rPr>
          <w:rFonts w:eastAsia="inter" w:cs="inter" w:ascii="inter" w:hAnsi="inter"/>
          <w:b/>
          <w:color w:val="000000"/>
          <w:sz w:val="24"/>
        </w:rPr>
        <w:t xml:space="preserve">Human Transcendence</w:t>
      </w:r>
    </w:p>
    <w:p>
      <w:pPr>
        <w:numPr>
          <w:ilvl w:val="0"/>
          <w:numId w:val="3"/>
        </w:numPr>
        <w:spacing w:line="360" w:before="105" w:after="105" w:lineRule="auto"/>
      </w:pPr>
      <w:r>
        <w:rPr>
          <w:rFonts w:eastAsia="inter" w:cs="inter" w:ascii="inter" w:hAnsi="inter"/>
          <w:b/>
          <w:color w:val="000000"/>
          <w:sz w:val="21"/>
        </w:rPr>
        <w:t xml:space="preserve">Imaginative leaps</w:t>
      </w:r>
      <w:r>
        <w:rPr>
          <w:rFonts w:eastAsia="inter" w:cs="inter" w:ascii="inter" w:hAnsi="inter"/>
          <w:color w:val="000000"/>
          <w:sz w:val="21"/>
        </w:rPr>
        <w:t xml:space="preserve">: Humans hypothesize beyond existing knowledge, as seen in Einstein’s thought experiments about relativity. This involves mental time-travel and abstract scenario-building</w:t>
      </w:r>
      <w:bookmarkStart w:id="12" w:name="fnref2:1"/>
      <w:bookmarkEnd w:id="12"/>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Purpose-driven innovation</w:t>
      </w:r>
      <w:r>
        <w:rPr>
          <w:rFonts w:eastAsia="inter" w:cs="inter" w:ascii="inter" w:hAnsi="inter"/>
          <w:color w:val="000000"/>
          <w:sz w:val="21"/>
        </w:rPr>
        <w:t xml:space="preserve">: Human creativity often aims to solve existential challenges (e.g., vaccine development) or express cultural identity (e.g., indigenous art revival)</w:t>
      </w:r>
      <w:bookmarkStart w:id="13" w:name="fnref2:2"/>
      <w:bookmarkEnd w:id="13"/>
      <w:hyperlink w:anchor="fn2">
        <w:r>
          <w:rPr>
            <w:rFonts w:eastAsia="inter" w:cs="inter" w:ascii="inter" w:hAnsi="inter"/>
            <w:color w:val="#000"/>
            <w:sz w:val="21"/>
            <w:u w:val="single"/>
            <w:vertAlign w:val="superscript"/>
          </w:rPr>
          <w:t xml:space="preserve">[2]</w:t>
        </w:r>
      </w:hyperlink>
      <w:bookmarkStart w:id="14" w:name="fnref3:3"/>
      <w:bookmarkEnd w:id="14"/>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Ethical evolution</w:t>
      </w:r>
      <w:r>
        <w:rPr>
          <w:rFonts w:eastAsia="inter" w:cs="inter" w:ascii="inter" w:hAnsi="inter"/>
          <w:color w:val="000000"/>
          <w:sz w:val="21"/>
        </w:rPr>
        <w:t xml:space="preserve">: Humans refine ideas through moral reasoning. The civil rights movement redefined justice beyond legal precedents, demonstrating transcendence through societal critique</w:t>
      </w:r>
      <w:bookmarkStart w:id="15" w:name="fnref4:2"/>
      <w:bookmarkEnd w:id="15"/>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AI Transcendence</w:t>
      </w:r>
    </w:p>
    <w:p>
      <w:pPr>
        <w:numPr>
          <w:ilvl w:val="0"/>
          <w:numId w:val="4"/>
        </w:numPr>
        <w:spacing w:line="360" w:before="105" w:after="105" w:lineRule="auto"/>
      </w:pPr>
      <w:r>
        <w:rPr>
          <w:rFonts w:eastAsia="inter" w:cs="inter" w:ascii="inter" w:hAnsi="inter"/>
          <w:b/>
          <w:color w:val="000000"/>
          <w:sz w:val="21"/>
        </w:rPr>
        <w:t xml:space="preserve">"Alien" pattern fusion</w:t>
      </w:r>
      <w:r>
        <w:rPr>
          <w:rFonts w:eastAsia="inter" w:cs="inter" w:ascii="inter" w:hAnsi="inter"/>
          <w:color w:val="000000"/>
          <w:sz w:val="21"/>
        </w:rPr>
        <w:t xml:space="preserve">: AI can combine unrelated concepts (e.g., merging biological and architectural forms in StyleGAN) to produce outputs humans find unintuitive. However, these are statistical novelties, not intentional innovations</w:t>
      </w:r>
      <w:bookmarkStart w:id="16" w:name="fnref7"/>
      <w:bookmarkEnd w:id="16"/>
      <w:hyperlink w:anchor="fn7">
        <w:r>
          <w:rPr>
            <w:rFonts w:eastAsia="inter" w:cs="inter" w:ascii="inter" w:hAnsi="inter"/>
            <w:color w:val="#000"/>
            <w:sz w:val="21"/>
            <w:u w:val="single"/>
            <w:vertAlign w:val="superscript"/>
          </w:rPr>
          <w:t xml:space="preserve">[7]</w:t>
        </w:r>
      </w:hyperlink>
      <w:bookmarkStart w:id="17" w:name="fnref3:4"/>
      <w:bookmarkEnd w:id="17"/>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Optimization, not aspiration</w:t>
      </w:r>
      <w:r>
        <w:rPr>
          <w:rFonts w:eastAsia="inter" w:cs="inter" w:ascii="inter" w:hAnsi="inter"/>
          <w:color w:val="000000"/>
          <w:sz w:val="21"/>
        </w:rPr>
        <w:t xml:space="preserve">: AI transcends data limits by maximizing metrics (e.g., coherence scores) rather than pursuing meaning. AlphaFold predicts protein structures efficiently but doesn’t "seek" medical breakthroughs</w:t>
      </w:r>
      <w:bookmarkStart w:id="18" w:name="fnref7:1"/>
      <w:bookmarkEnd w:id="18"/>
      <w:hyperlink w:anchor="fn7">
        <w:r>
          <w:rPr>
            <w:rFonts w:eastAsia="inter" w:cs="inter" w:ascii="inter" w:hAnsi="inter"/>
            <w:color w:val="#000"/>
            <w:sz w:val="21"/>
            <w:u w:val="single"/>
            <w:vertAlign w:val="superscript"/>
          </w:rPr>
          <w:t xml:space="preserve">[7]</w:t>
        </w:r>
      </w:hyperlink>
      <w:bookmarkStart w:id="19" w:name="fnref6:3"/>
      <w:bookmarkEnd w:id="19"/>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Hybrid transcendence</w:t>
      </w:r>
      <w:r>
        <w:rPr>
          <w:rFonts w:eastAsia="inter" w:cs="inter" w:ascii="inter" w:hAnsi="inter"/>
          <w:color w:val="000000"/>
          <w:sz w:val="21"/>
        </w:rPr>
        <w:t xml:space="preserve">: In human-AI collaboration, tools like Midjourney extend human creativity by rapidly iterating designs, though the AI lacks autonomous intent</w:t>
      </w:r>
      <w:bookmarkStart w:id="20" w:name="fnref7:2"/>
      <w:bookmarkEnd w:id="20"/>
      <w:hyperlink w:anchor="fn7">
        <w:r>
          <w:rPr>
            <w:rFonts w:eastAsia="inter" w:cs="inter" w:ascii="inter" w:hAnsi="inter"/>
            <w:color w:val="#000"/>
            <w:sz w:val="21"/>
            <w:u w:val="single"/>
            <w:vertAlign w:val="superscript"/>
          </w:rPr>
          <w:t xml:space="preserve">[7]</w:t>
        </w:r>
      </w:hyperlink>
      <w:bookmarkStart w:id="21" w:name="fnref3:5"/>
      <w:bookmarkEnd w:id="21"/>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Key Differences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Aspect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Humans</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AI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Consciousness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Self-aware, emotional, intentional</w:t>
            </w:r>
            <w:hyperlink w:anchor="fn4">
              <w:r>
                <w:rPr>
                  <w:rFonts w:eastAsia="inter" w:cs="inter" w:ascii="inter" w:hAnsi="inter"/>
                  <w:color w:val="#000"/>
                  <w:sz w:val="17"/>
                  <w:u w:val="single"/>
                  <w:vertAlign w:val="superscript"/>
                </w:rPr>
                <w:t xml:space="preserve">[4]</w:t>
              </w:r>
            </w:hyperlink>
            <w:hyperlink w:anchor="fn2">
              <w:r>
                <w:rPr>
                  <w:rFonts w:eastAsia="inter" w:cs="inter" w:ascii="inter" w:hAnsi="inter"/>
                  <w:color w:val="#000"/>
                  <w:sz w:val="17"/>
                  <w:u w:val="single"/>
                  <w:vertAlign w:val="superscript"/>
                </w:rPr>
                <w:t xml:space="preserve">[2]</w:t>
              </w:r>
            </w:hyperlink>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Pattern-driven, no subjective experience</w:t>
            </w:r>
            <w:hyperlink w:anchor="fn6">
              <w:r>
                <w:rPr>
                  <w:rFonts w:eastAsia="inter" w:cs="inter" w:ascii="inter" w:hAnsi="inter"/>
                  <w:color w:val="#000"/>
                  <w:sz w:val="17"/>
                  <w:u w:val="single"/>
                  <w:vertAlign w:val="superscript"/>
                </w:rPr>
                <w:t xml:space="preserve">[6]</w:t>
              </w:r>
            </w:hyperlink>
            <w:hyperlink w:anchor="fn3">
              <w:r>
                <w:rPr>
                  <w:rFonts w:eastAsia="inter" w:cs="inter" w:ascii="inter" w:hAnsi="inter"/>
                  <w:color w:val="#000"/>
                  <w:sz w:val="17"/>
                  <w:u w:val="single"/>
                  <w:vertAlign w:val="superscript"/>
                </w:rPr>
                <w:t xml:space="preserve">[3]</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Data Use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Curated, context-rich</w:t>
            </w:r>
            <w:hyperlink w:anchor="fn1">
              <w:r>
                <w:rPr>
                  <w:rFonts w:eastAsia="inter" w:cs="inter" w:ascii="inter" w:hAnsi="inter"/>
                  <w:color w:val="#000"/>
                  <w:sz w:val="17"/>
                  <w:u w:val="single"/>
                  <w:vertAlign w:val="superscript"/>
                </w:rPr>
                <w:t xml:space="preserve">[1]</w:t>
              </w:r>
            </w:hyperlink>
            <w:hyperlink w:anchor="fn2">
              <w:r>
                <w:rPr>
                  <w:rFonts w:eastAsia="inter" w:cs="inter" w:ascii="inter" w:hAnsi="inter"/>
                  <w:color w:val="#000"/>
                  <w:sz w:val="17"/>
                  <w:u w:val="single"/>
                  <w:vertAlign w:val="superscript"/>
                </w:rPr>
                <w:t xml:space="preserve">[2]</w:t>
              </w:r>
            </w:hyperlink>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Massive, culturally biased</w:t>
            </w:r>
            <w:hyperlink w:anchor="fn5">
              <w:r>
                <w:rPr>
                  <w:rFonts w:eastAsia="inter" w:cs="inter" w:ascii="inter" w:hAnsi="inter"/>
                  <w:color w:val="#000"/>
                  <w:sz w:val="17"/>
                  <w:u w:val="single"/>
                  <w:vertAlign w:val="superscript"/>
                </w:rPr>
                <w:t xml:space="preserve">[5]</w:t>
              </w:r>
            </w:hyperlink>
            <w:hyperlink w:anchor="fn6">
              <w:r>
                <w:rPr>
                  <w:rFonts w:eastAsia="inter" w:cs="inter" w:ascii="inter" w:hAnsi="inter"/>
                  <w:color w:val="#000"/>
                  <w:sz w:val="17"/>
                  <w:u w:val="single"/>
                  <w:vertAlign w:val="superscript"/>
                </w:rPr>
                <w:t xml:space="preserve">[6]</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Creativity Source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Lived experience, abstract thinking</w:t>
            </w:r>
            <w:hyperlink w:anchor="fn1">
              <w:r>
                <w:rPr>
                  <w:rFonts w:eastAsia="inter" w:cs="inter" w:ascii="inter" w:hAnsi="inter"/>
                  <w:color w:val="#000"/>
                  <w:sz w:val="17"/>
                  <w:u w:val="single"/>
                  <w:vertAlign w:val="superscript"/>
                </w:rPr>
                <w:t xml:space="preserve">[1]</w:t>
              </w:r>
            </w:hyperlink>
            <w:hyperlink w:anchor="fn3">
              <w:r>
                <w:rPr>
                  <w:rFonts w:eastAsia="inter" w:cs="inter" w:ascii="inter" w:hAnsi="inter"/>
                  <w:color w:val="#000"/>
                  <w:sz w:val="17"/>
                  <w:u w:val="single"/>
                  <w:vertAlign w:val="superscript"/>
                </w:rPr>
                <w:t xml:space="preserve">[3]</w:t>
              </w:r>
            </w:hyperlink>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Statistical recombination</w:t>
            </w:r>
            <w:hyperlink w:anchor="fn5">
              <w:r>
                <w:rPr>
                  <w:rFonts w:eastAsia="inter" w:cs="inter" w:ascii="inter" w:hAnsi="inter"/>
                  <w:color w:val="#000"/>
                  <w:sz w:val="17"/>
                  <w:u w:val="single"/>
                  <w:vertAlign w:val="superscript"/>
                </w:rPr>
                <w:t xml:space="preserve">[5]</w:t>
              </w:r>
            </w:hyperlink>
            <w:hyperlink w:anchor="fn7">
              <w:r>
                <w:rPr>
                  <w:rFonts w:eastAsia="inter" w:cs="inter" w:ascii="inter" w:hAnsi="inter"/>
                  <w:color w:val="#000"/>
                  <w:sz w:val="17"/>
                  <w:u w:val="single"/>
                  <w:vertAlign w:val="superscript"/>
                </w:rPr>
                <w:t xml:space="preserve">[7]</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Ethical Outputs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Guided by moral reasoning</w:t>
            </w:r>
            <w:hyperlink w:anchor="fn4">
              <w:r>
                <w:rPr>
                  <w:rFonts w:eastAsia="inter" w:cs="inter" w:ascii="inter" w:hAnsi="inter"/>
                  <w:color w:val="#000"/>
                  <w:sz w:val="17"/>
                  <w:u w:val="single"/>
                  <w:vertAlign w:val="superscript"/>
                </w:rPr>
                <w:t xml:space="preserve">[4]</w:t>
              </w:r>
            </w:hyperlink>
            <w:hyperlink w:anchor="fn3">
              <w:r>
                <w:rPr>
                  <w:rFonts w:eastAsia="inter" w:cs="inter" w:ascii="inter" w:hAnsi="inter"/>
                  <w:color w:val="#000"/>
                  <w:sz w:val="17"/>
                  <w:u w:val="single"/>
                  <w:vertAlign w:val="superscript"/>
                </w:rPr>
                <w:t xml:space="preserve">[3]</w:t>
              </w:r>
            </w:hyperlink>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Requires human oversight to avoid harm</w:t>
            </w:r>
            <w:hyperlink w:anchor="fn6">
              <w:r>
                <w:rPr>
                  <w:rFonts w:eastAsia="inter" w:cs="inter" w:ascii="inter" w:hAnsi="inter"/>
                  <w:color w:val="#000"/>
                  <w:sz w:val="17"/>
                  <w:u w:val="single"/>
                  <w:vertAlign w:val="superscript"/>
                </w:rPr>
                <w:t xml:space="preserve">[6]</w:t>
              </w:r>
            </w:hyperlink>
            <w:hyperlink w:anchor="fn3">
              <w:r>
                <w:rPr>
                  <w:rFonts w:eastAsia="inter" w:cs="inter" w:ascii="inter" w:hAnsi="inter"/>
                  <w:color w:val="#000"/>
                  <w:sz w:val="17"/>
                  <w:u w:val="single"/>
                  <w:vertAlign w:val="superscript"/>
                </w:rPr>
                <w:t xml:space="preserve">[3]</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Philosophical Implications</w:t>
      </w:r>
    </w:p>
    <w:p>
      <w:pPr>
        <w:numPr>
          <w:ilvl w:val="0"/>
          <w:numId w:val="5"/>
        </w:numPr>
        <w:spacing w:line="360" w:before="105" w:after="105" w:lineRule="auto"/>
      </w:pPr>
      <w:r>
        <w:rPr>
          <w:rFonts w:eastAsia="inter" w:cs="inter" w:ascii="inter" w:hAnsi="inter"/>
          <w:b/>
          <w:color w:val="000000"/>
          <w:sz w:val="21"/>
        </w:rPr>
        <w:t xml:space="preserve">Originality debate</w:t>
      </w:r>
      <w:r>
        <w:rPr>
          <w:rFonts w:eastAsia="inter" w:cs="inter" w:ascii="inter" w:hAnsi="inter"/>
          <w:color w:val="000000"/>
          <w:sz w:val="21"/>
        </w:rPr>
        <w:t xml:space="preserve">: If creativity is judged by novelty, AI qualifies (e.g., GPT-4 passing creativity tests). If it requires consciousness, AI falls short</w:t>
      </w:r>
      <w:bookmarkStart w:id="22" w:name="fnref4:5"/>
      <w:bookmarkEnd w:id="22"/>
      <w:hyperlink w:anchor="fn4">
        <w:r>
          <w:rPr>
            <w:rFonts w:eastAsia="inter" w:cs="inter" w:ascii="inter" w:hAnsi="inter"/>
            <w:color w:val="#000"/>
            <w:sz w:val="21"/>
            <w:u w:val="single"/>
            <w:vertAlign w:val="superscript"/>
          </w:rPr>
          <w:t xml:space="preserve">[4]</w:t>
        </w:r>
      </w:hyperlink>
      <w:bookmarkStart w:id="23" w:name="fnref7:4"/>
      <w:bookmarkEnd w:id="23"/>
      <w:hyperlink w:anchor="fn7">
        <w:r>
          <w:rPr>
            <w:rFonts w:eastAsia="inter" w:cs="inter" w:ascii="inter" w:hAnsi="inter"/>
            <w:color w:val="#000"/>
            <w:sz w:val="21"/>
            <w:u w:val="single"/>
            <w:vertAlign w:val="superscript"/>
          </w:rPr>
          <w:t xml:space="preserve">[7]</w:t>
        </w:r>
      </w:hyperlink>
      <w:bookmarkStart w:id="24" w:name="fnref3:10"/>
      <w:bookmarkEnd w:id="24"/>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Hybrid futures</w:t>
      </w:r>
      <w:r>
        <w:rPr>
          <w:rFonts w:eastAsia="inter" w:cs="inter" w:ascii="inter" w:hAnsi="inter"/>
          <w:color w:val="000000"/>
          <w:sz w:val="21"/>
        </w:rPr>
        <w:t xml:space="preserve">: Tools like GitHub Copilot exemplify "Level 4" co-creativity, where AI’s computational power and human intuition merge for breakthroughs in fields like mathematics</w:t>
      </w:r>
      <w:bookmarkStart w:id="25" w:name="fnref7:5"/>
      <w:bookmarkEnd w:id="25"/>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Cultural risks</w:t>
      </w:r>
      <w:r>
        <w:rPr>
          <w:rFonts w:eastAsia="inter" w:cs="inter" w:ascii="inter" w:hAnsi="inter"/>
          <w:color w:val="000000"/>
          <w:sz w:val="21"/>
        </w:rPr>
        <w:t xml:space="preserve">: Over-reliance on AI risks homogenizing art and law, privileging dominant patterns over niche traditions</w:t>
      </w:r>
      <w:bookmarkStart w:id="26" w:name="fnref6:7"/>
      <w:bookmarkEnd w:id="26"/>
      <w:hyperlink w:anchor="fn6">
        <w:r>
          <w:rPr>
            <w:rFonts w:eastAsia="inter" w:cs="inter" w:ascii="inter" w:hAnsi="inter"/>
            <w:color w:val="#000"/>
            <w:sz w:val="21"/>
            <w:u w:val="single"/>
            <w:vertAlign w:val="superscript"/>
          </w:rPr>
          <w:t xml:space="preserve">[6]</w:t>
        </w:r>
      </w:hyperlink>
      <w:bookmarkStart w:id="27" w:name="fnref3:11"/>
      <w:bookmarkEnd w:id="27"/>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Humans synthesize and transcend information through conscious integration of experience, ethics, and imagination, while AI relies on statistical recombination and scale. The former is rooted in subjective depth, the latter in computational efficiency. As AI evolves, the most promising path lies in hybrid systems where human intentionality guides AI’s pattern recognition, creating synergies that respect both biological and artificial intelligence’s unique strengths.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8" w:name="fn1"/>
    <w:bookmarkEnd w:id="28"/>
    <w:p>
      <w:pPr>
        <w:numPr>
          <w:ilvl w:val="0"/>
          <w:numId w:val="7"/>
        </w:numPr>
        <w:spacing w:line="360" w:after="210" w:lineRule="auto"/>
      </w:pPr>
      <w:hyperlink r:id="rId6">
        <w:r>
          <w:rPr>
            <w:rFonts w:eastAsia="inter" w:cs="inter" w:ascii="inter" w:hAnsi="inter"/>
            <w:color w:val="#000"/>
            <w:sz w:val="18"/>
            <w:u w:val="single"/>
          </w:rPr>
          <w:t xml:space="preserve">https://punyamishra.com/wp-content/uploads/2015/08/tech-trends-synthesis-July-2015.pdf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9" w:name="fn2"/>
    <w:bookmarkEnd w:id="29"/>
    <w:p>
      <w:pPr>
        <w:numPr>
          <w:ilvl w:val="0"/>
          <w:numId w:val="7"/>
        </w:numPr>
        <w:spacing w:line="360" w:after="210" w:lineRule="auto"/>
      </w:pPr>
      <w:hyperlink r:id="rId7">
        <w:r>
          <w:rPr>
            <w:rFonts w:eastAsia="inter" w:cs="inter" w:ascii="inter" w:hAnsi="inter"/>
            <w:color w:val="#000"/>
            <w:sz w:val="18"/>
            <w:u w:val="single"/>
          </w:rPr>
          <w:t xml:space="preserve">https://pmc.ncbi.nlm.nih.gov/articles/PMC8647910/</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0" w:name="fn3"/>
    <w:bookmarkEnd w:id="30"/>
    <w:p>
      <w:pPr>
        <w:numPr>
          <w:ilvl w:val="0"/>
          <w:numId w:val="7"/>
        </w:numPr>
        <w:spacing w:line="360" w:after="210" w:lineRule="auto"/>
      </w:pPr>
      <w:hyperlink r:id="rId8">
        <w:r>
          <w:rPr>
            <w:rFonts w:eastAsia="inter" w:cs="inter" w:ascii="inter" w:hAnsi="inter"/>
            <w:color w:val="#000"/>
            <w:sz w:val="18"/>
            <w:u w:val="single"/>
          </w:rPr>
          <w:t xml:space="preserve">https://connectivewebdesign.com/blog/ai-vs-human-creativity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1" w:name="fn4"/>
    <w:bookmarkEnd w:id="31"/>
    <w:p>
      <w:pPr>
        <w:numPr>
          <w:ilvl w:val="0"/>
          <w:numId w:val="7"/>
        </w:numPr>
        <w:spacing w:line="360" w:after="210" w:lineRule="auto"/>
      </w:pPr>
      <w:hyperlink r:id="rId9">
        <w:r>
          <w:rPr>
            <w:rFonts w:eastAsia="inter" w:cs="inter" w:ascii="inter" w:hAnsi="inter"/>
            <w:color w:val="#000"/>
            <w:sz w:val="18"/>
            <w:u w:val="single"/>
          </w:rPr>
          <w:t xml:space="preserve">https://philarchive.org/archive/TRIAIV</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2" w:name="fn5"/>
    <w:bookmarkEnd w:id="32"/>
    <w:p>
      <w:pPr>
        <w:numPr>
          <w:ilvl w:val="0"/>
          <w:numId w:val="7"/>
        </w:numPr>
        <w:spacing w:line="360" w:after="210" w:lineRule="auto"/>
      </w:pPr>
      <w:hyperlink r:id="rId10">
        <w:r>
          <w:rPr>
            <w:rFonts w:eastAsia="inter" w:cs="inter" w:ascii="inter" w:hAnsi="inter"/>
            <w:color w:val="#000"/>
            <w:sz w:val="18"/>
            <w:u w:val="single"/>
          </w:rPr>
          <w:t xml:space="preserve">https://intechideas.com/creative-and-ai-why-knowing-everything-doesnt-make-you-creative-exploring-the-boundaries-of-digital-imagination-6/</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3" w:name="fn6"/>
    <w:bookmarkEnd w:id="33"/>
    <w:p>
      <w:pPr>
        <w:numPr>
          <w:ilvl w:val="0"/>
          <w:numId w:val="7"/>
        </w:numPr>
        <w:spacing w:line="360" w:after="210" w:lineRule="auto"/>
      </w:pPr>
      <w:hyperlink r:id="rId11">
        <w:r>
          <w:rPr>
            <w:rFonts w:eastAsia="inter" w:cs="inter" w:ascii="inter" w:hAnsi="inter"/>
            <w:color w:val="#000"/>
            <w:sz w:val="18"/>
            <w:u w:val="single"/>
          </w:rPr>
          <w:t xml:space="preserve">https://www.linkedin.com/pulse/comparing-contrasting-how-humans-ai-learn-jerry-washington-ed-d--qmbxc</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4" w:name="fn7"/>
    <w:bookmarkEnd w:id="34"/>
    <w:p>
      <w:pPr>
        <w:numPr>
          <w:ilvl w:val="0"/>
          <w:numId w:val="7"/>
        </w:numPr>
        <w:spacing w:line="360" w:after="210" w:lineRule="auto"/>
      </w:pPr>
      <w:hyperlink r:id="rId12">
        <w:r>
          <w:rPr>
            <w:rFonts w:eastAsia="inter" w:cs="inter" w:ascii="inter" w:hAnsi="inter"/>
            <w:color w:val="#000"/>
            <w:sz w:val="18"/>
            <w:u w:val="single"/>
          </w:rPr>
          <w:t xml:space="preserve">https://arxiv.org/html/2411.12527v1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abstractNum>
  <w:abstractNum w:abstractNumId="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e963329963ffa48e02aaf7f444bb027d5dfd48c.png" TargetMode="Internal"/><Relationship Id="rId6" Type="http://schemas.openxmlformats.org/officeDocument/2006/relationships/hyperlink" Target="https://punyamishra.com/wp-content/uploads/2015/08/tech-trends-synthesis-July-2015.pdf" TargetMode="External"/><Relationship Id="rId7" Type="http://schemas.openxmlformats.org/officeDocument/2006/relationships/hyperlink" Target="https://pmc.ncbi.nlm.nih.gov/articles/PMC8647910/" TargetMode="External"/><Relationship Id="rId8" Type="http://schemas.openxmlformats.org/officeDocument/2006/relationships/hyperlink" Target="https://connectivewebdesign.com/blog/ai-vs-human-creativity" TargetMode="External"/><Relationship Id="rId9" Type="http://schemas.openxmlformats.org/officeDocument/2006/relationships/hyperlink" Target="https://philarchive.org/archive/TRIAIV" TargetMode="External"/><Relationship Id="rId10" Type="http://schemas.openxmlformats.org/officeDocument/2006/relationships/hyperlink" Target="https://intechideas.com/creative-and-ai-why-knowing-everything-doesnt-make-you-creative-exploring-the-boundaries-of-digital-imagination-6/" TargetMode="External"/><Relationship Id="rId11" Type="http://schemas.openxmlformats.org/officeDocument/2006/relationships/hyperlink" Target="https://www.linkedin.com/pulse/comparing-contrasting-how-humans-ai-learn-jerry-washington-ed-d--qmbxc" TargetMode="External"/><Relationship Id="rId12" Type="http://schemas.openxmlformats.org/officeDocument/2006/relationships/hyperlink" Target="https://arxiv.org/html/2411.12527v1"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2025-04-19T13:03:20.938Z</dcterms:created>
  <dcterms:modified xsi:type="dcterms:W3CDTF">2025-04-19T13:03:20.938Z</dcterms:modified>
</cp:coreProperties>
</file>