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0bd5b92377e51e62ece89fb7baa46a3cb556cf7.png"/>
            <a:graphic>
              <a:graphicData uri="http://schemas.openxmlformats.org/drawingml/2006/picture">
                <pic:pic>
                  <pic:nvPicPr>
                    <pic:cNvPr id="1" name="image-10bd5b92377e51e62ece89fb7baa46a3cb556cf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The Neural Architecture of Constrained Yet Unbounded Creativity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Human creativity operates within a paradoxical neural framework: it is </w:t>
      </w:r>
      <w:r>
        <w:rPr>
          <w:rFonts w:eastAsia="inter" w:cs="inter" w:ascii="inter" w:hAnsi="inter"/>
          <w:b/>
          <w:color w:val="000000"/>
        </w:rPr>
        <w:t xml:space="preserve">unbounded</w:t>
      </w:r>
      <w:r>
        <w:rPr>
          <w:rFonts w:eastAsia="inter" w:cs="inter" w:ascii="inter" w:hAnsi="inter"/>
          <w:color w:val="000000"/>
        </w:rPr>
        <w:t xml:space="preserve"> in its capacity for novel idea generation (divergent thinking) yet </w:t>
      </w:r>
      <w:r>
        <w:rPr>
          <w:rFonts w:eastAsia="inter" w:cs="inter" w:ascii="inter" w:hAnsi="inter"/>
          <w:b/>
          <w:color w:val="000000"/>
        </w:rPr>
        <w:t xml:space="preserve">constrained</w:t>
      </w:r>
      <w:r>
        <w:rPr>
          <w:rFonts w:eastAsia="inter" w:cs="inter" w:ascii="inter" w:hAnsi="inter"/>
          <w:color w:val="000000"/>
        </w:rPr>
        <w:t xml:space="preserve"> by cognitive control mechanisms that ensure utility and feasibility. This balance emerges from dynamic interactions between specific brain networks: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Unbounded Creativity: The Default Mode Network (DMN)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DMN—spanning medial prefrontal cortex (mPFC), posterior cingulate cortex (PCC), and angular gyrus—is the brain’s </w:t>
      </w:r>
      <w:r>
        <w:rPr>
          <w:rFonts w:eastAsia="inter" w:cs="inter" w:ascii="inter" w:hAnsi="inter"/>
          <w:b/>
          <w:color w:val="000000"/>
        </w:rPr>
        <w:t xml:space="preserve">imagination engine</w:t>
      </w:r>
      <w:r>
        <w:rPr>
          <w:rFonts w:eastAsia="inter" w:cs="inter" w:ascii="inter" w:hAnsi="inter"/>
          <w:color w:val="000000"/>
        </w:rPr>
        <w:t xml:space="preserve">, enabling: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Divergent Thinking</w:t>
      </w:r>
      <w:r>
        <w:rPr>
          <w:rFonts w:eastAsia="inter" w:cs="inter" w:ascii="inter" w:hAnsi="inter"/>
          <w:color w:val="000000"/>
          <w:sz w:val="21"/>
        </w:rPr>
        <w:t xml:space="preserve">: Spontaneous idea generation through remote associations (e.g., imagining a brick as a smartphone stand)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Mental Simulation</w:t>
      </w:r>
      <w:r>
        <w:rPr>
          <w:rFonts w:eastAsia="inter" w:cs="inter" w:ascii="inter" w:hAnsi="inter"/>
          <w:color w:val="000000"/>
          <w:sz w:val="21"/>
        </w:rPr>
        <w:t xml:space="preserve">: Internally exploring hypothetical scenarios (e.g., "What if AI could write poetry?")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Mind Wandering</w:t>
      </w:r>
      <w:r>
        <w:rPr>
          <w:rFonts w:eastAsia="inter" w:cs="inter" w:ascii="inter" w:hAnsi="inter"/>
          <w:color w:val="000000"/>
          <w:sz w:val="21"/>
        </w:rPr>
        <w:t xml:space="preserve">: Unstructured thought linked to creative incubation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Evidence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 cortical stimulation of DMN nodes (e.g., PCC) reduces originality in alternate-uses tasks, confirming its causal role in unbounded creativity</w:t>
      </w:r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Resting-state fMRI shows stronger DMN-inferior prefrontal cortex (IFG) connectivity in highly creative individuals, enabling free idea exploration</w:t>
      </w:r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Constraining Systems: Task Positive Network (TPN), PFC, and ACC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Task Positive Network (TPN)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Includes dorsolateral PFC (dlPFC) and intraparietal sulcus. It imposes </w:t>
      </w:r>
      <w:r>
        <w:rPr>
          <w:rFonts w:eastAsia="inter" w:cs="inter" w:ascii="inter" w:hAnsi="inter"/>
          <w:b/>
          <w:color w:val="000000"/>
        </w:rPr>
        <w:t xml:space="preserve">focus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executive control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Filters Ideas</w:t>
      </w:r>
      <w:r>
        <w:rPr>
          <w:rFonts w:eastAsia="inter" w:cs="inter" w:ascii="inter" w:hAnsi="inter"/>
          <w:color w:val="000000"/>
          <w:sz w:val="21"/>
        </w:rPr>
        <w:t xml:space="preserve">: Suppresses DMN activity to prioritize feasible solutions (e.g., rejecting time-travel code for violating physics)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Goal Alignment</w:t>
      </w:r>
      <w:r>
        <w:rPr>
          <w:rFonts w:eastAsia="inter" w:cs="inter" w:ascii="inter" w:hAnsi="inter"/>
          <w:color w:val="000000"/>
          <w:sz w:val="21"/>
        </w:rPr>
        <w:t xml:space="preserve">: Converts abstract ideas into actionable steps (e.g., refining AI-generated game code for production)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Prefrontal Cortex (PFC)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Dorsolateral PFC (dlPFC)</w:t>
      </w:r>
      <w:r>
        <w:rPr>
          <w:rFonts w:eastAsia="inter" w:cs="inter" w:ascii="inter" w:hAnsi="inter"/>
          <w:color w:val="000000"/>
          <w:sz w:val="21"/>
        </w:rPr>
        <w:t xml:space="preserve">: Applies domain knowledge (e.g., patent laws) to evaluate novelty</w:t>
      </w:r>
      <w:bookmarkStart w:id="11" w:name="fnref6:1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2" w:name="fnref2:3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Inferior PFC (IFG)</w:t>
      </w:r>
      <w:r>
        <w:rPr>
          <w:rFonts w:eastAsia="inter" w:cs="inter" w:ascii="inter" w:hAnsi="inter"/>
          <w:color w:val="000000"/>
          <w:sz w:val="21"/>
        </w:rPr>
        <w:t xml:space="preserve">: Inhibits prepotent responses (e.g., blocking cliché ideas like "build a house" for a brick)</w:t>
      </w:r>
      <w:bookmarkStart w:id="13" w:name="fnref2:4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Anterior Cingulate Cortex (ACC)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Monitors </w:t>
      </w:r>
      <w:r>
        <w:rPr>
          <w:rFonts w:eastAsia="inter" w:cs="inter" w:ascii="inter" w:hAnsi="inter"/>
          <w:b/>
          <w:color w:val="000000"/>
        </w:rPr>
        <w:t xml:space="preserve">conflict</w:t>
      </w:r>
      <w:r>
        <w:rPr>
          <w:rFonts w:eastAsia="inter" w:cs="inter" w:ascii="inter" w:hAnsi="inter"/>
          <w:color w:val="000000"/>
        </w:rPr>
        <w:t xml:space="preserve"> between novelty and feasibility: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Flags ideas violating constraints (e.g., perpetual motion machines)</w:t>
      </w:r>
      <w:bookmarkStart w:id="14" w:name="fnref6:2"/>
      <w:bookmarkEnd w:id="1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Balances DMN-TPN activity during creative tasks</w:t>
      </w:r>
      <w:bookmarkStart w:id="15" w:name="fnref4:2"/>
      <w:bookmarkEnd w:id="1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Interplay Between Networks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Idea Generation (DMN Dominance)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DMN activates during rest, producing novel associations (e.g., Einstein’s thought experiments)</w:t>
      </w:r>
      <w:bookmarkStart w:id="16" w:name="fnref1:2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3:1"/>
      <w:bookmarkEnd w:id="1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 reduces TPN inhibition, allowing unconstrained exploration</w:t>
      </w:r>
      <w:bookmarkStart w:id="18" w:name="fnref4:3"/>
      <w:bookmarkEnd w:id="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Idea Refinement (TPN/PFC Dominance)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TPN suppresses DMN to prioritize logic (e.g., debugging AI code)</w:t>
      </w:r>
      <w:bookmarkStart w:id="19" w:name="fnref6:3"/>
      <w:bookmarkEnd w:id="1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0" w:name="fnref4:4"/>
      <w:bookmarkEnd w:id="2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PFC organizes ideas into patent applications or production pipelines</w:t>
      </w:r>
      <w:bookmarkStart w:id="21" w:name="fnref2:5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Clinical Insights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schizophrenia, </w:t>
      </w:r>
      <w:r>
        <w:rPr>
          <w:rFonts w:eastAsia="inter" w:cs="inter" w:ascii="inter" w:hAnsi="inter"/>
          <w:b/>
          <w:color w:val="000000"/>
          <w:sz w:val="21"/>
        </w:rPr>
        <w:t xml:space="preserve">DMN hyperactivity + poor TPN regulation</w:t>
      </w:r>
      <w:r>
        <w:rPr>
          <w:rFonts w:eastAsia="inter" w:cs="inter" w:ascii="inter" w:hAnsi="inter"/>
          <w:color w:val="000000"/>
          <w:sz w:val="21"/>
        </w:rPr>
        <w:t xml:space="preserve"> leads to delusional creativity (e.g., irrational inventions)</w:t>
      </w:r>
      <w:bookmarkStart w:id="22" w:name="fnref4:5"/>
      <w:bookmarkEnd w:id="2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ADHD’s reduced TPN-DMN anticorrelation enables hyper-divergent ideas but hampers execution</w:t>
      </w:r>
      <w:bookmarkStart w:id="23" w:name="fnref4:6"/>
      <w:bookmarkEnd w:id="2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Philosophical and Practical Implications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Kantian Judgment</w:t>
      </w:r>
      <w:r>
        <w:rPr>
          <w:rFonts w:eastAsia="inter" w:cs="inter" w:ascii="inter" w:hAnsi="inter"/>
          <w:color w:val="000000"/>
          <w:sz w:val="21"/>
        </w:rPr>
        <w:t xml:space="preserve">: While AI recombines data (Aristotelian </w:t>
      </w:r>
      <w:r>
        <w:rPr>
          <w:rFonts w:eastAsia="inter" w:cs="inter" w:ascii="inter" w:hAnsi="inter"/>
          <w:i/>
          <w:color w:val="000000"/>
          <w:sz w:val="21"/>
        </w:rPr>
        <w:t xml:space="preserve">actualization</w:t>
      </w:r>
      <w:r>
        <w:rPr>
          <w:rFonts w:eastAsia="inter" w:cs="inter" w:ascii="inter" w:hAnsi="inter"/>
          <w:color w:val="000000"/>
          <w:sz w:val="21"/>
        </w:rPr>
        <w:t xml:space="preserve">), human PFC/ACC provide Kantian </w:t>
      </w:r>
      <w:r>
        <w:rPr>
          <w:rFonts w:eastAsia="inter" w:cs="inter" w:ascii="inter" w:hAnsi="inter"/>
          <w:i/>
          <w:color w:val="000000"/>
          <w:sz w:val="21"/>
        </w:rPr>
        <w:t xml:space="preserve">intentionality</w:t>
      </w:r>
      <w:r>
        <w:rPr>
          <w:rFonts w:eastAsia="inter" w:cs="inter" w:ascii="inter" w:hAnsi="inter"/>
          <w:color w:val="000000"/>
          <w:sz w:val="21"/>
        </w:rPr>
        <w:t xml:space="preserve"> to align ideas with ethics and utility</w:t>
      </w:r>
      <w:bookmarkStart w:id="24" w:name="fnref2:6"/>
      <w:bookmarkEnd w:id="2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5" w:name="fnref5:2"/>
      <w:bookmarkEnd w:id="2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Innovation Workflows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Unconstrained Phase</w:t>
      </w:r>
      <w:r>
        <w:rPr>
          <w:rFonts w:eastAsia="inter" w:cs="inter" w:ascii="inter" w:hAnsi="inter"/>
          <w:color w:val="000000"/>
          <w:sz w:val="21"/>
        </w:rPr>
        <w:t xml:space="preserve">: Walking/daydreaming boosts DMN activity</w:t>
      </w:r>
      <w:bookmarkStart w:id="26" w:name="fnref3:2"/>
      <w:bookmarkEnd w:id="2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Constrained Phase</w:t>
      </w:r>
      <w:r>
        <w:rPr>
          <w:rFonts w:eastAsia="inter" w:cs="inter" w:ascii="inter" w:hAnsi="inter"/>
          <w:color w:val="000000"/>
          <w:sz w:val="21"/>
        </w:rPr>
        <w:t xml:space="preserve">: Focused sprints engage TPN/PFC for execution</w:t>
      </w:r>
      <w:bookmarkStart w:id="27" w:name="fnref6:4"/>
      <w:bookmarkEnd w:id="2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Human creativity is </w:t>
      </w:r>
      <w:r>
        <w:rPr>
          <w:rFonts w:eastAsia="inter" w:cs="inter" w:ascii="inter" w:hAnsi="inter"/>
          <w:b/>
          <w:color w:val="000000"/>
        </w:rPr>
        <w:t xml:space="preserve">unbounded</w:t>
      </w:r>
      <w:r>
        <w:rPr>
          <w:rFonts w:eastAsia="inter" w:cs="inter" w:ascii="inter" w:hAnsi="inter"/>
          <w:color w:val="000000"/>
        </w:rPr>
        <w:t xml:space="preserve"> by the DMN’s imaginative capacity yet </w:t>
      </w:r>
      <w:r>
        <w:rPr>
          <w:rFonts w:eastAsia="inter" w:cs="inter" w:ascii="inter" w:hAnsi="inter"/>
          <w:b/>
          <w:color w:val="000000"/>
        </w:rPr>
        <w:t xml:space="preserve">constrained</w:t>
      </w:r>
      <w:r>
        <w:rPr>
          <w:rFonts w:eastAsia="inter" w:cs="inter" w:ascii="inter" w:hAnsi="inter"/>
          <w:color w:val="000000"/>
        </w:rPr>
        <w:t xml:space="preserve"> by TPN/PFC/ACC systems ensuring relevance. This duality mirrors Csikszentmihalyi’s model: novelty (DMN) must be validated by the field (TPN/PFC) and integrated into the domain (ACC). For AI collaboration, this suggests leveraging DMN-like generative models while retaining human oversight for constraint application—a symbiosis of silicon </w:t>
      </w:r>
      <w:r>
        <w:rPr>
          <w:rFonts w:eastAsia="inter" w:cs="inter" w:ascii="inter" w:hAnsi="inter"/>
          <w:i/>
          <w:color w:val="000000"/>
        </w:rPr>
        <w:t xml:space="preserve">divergence</w:t>
      </w:r>
      <w:r>
        <w:rPr>
          <w:rFonts w:eastAsia="inter" w:cs="inter" w:ascii="inter" w:hAnsi="inter"/>
          <w:color w:val="000000"/>
        </w:rPr>
        <w:t xml:space="preserve"> and carbon </w:t>
      </w:r>
      <w:r>
        <w:rPr>
          <w:rFonts w:eastAsia="inter" w:cs="inter" w:ascii="inter" w:hAnsi="inter"/>
          <w:i/>
          <w:color w:val="000000"/>
        </w:rPr>
        <w:t xml:space="preserve">convergence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References</w:t>
      </w:r>
      <w:bookmarkStart w:id="28" w:name="fnref6:5"/>
      <w:bookmarkEnd w:id="2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 PMC6034981 (DMN-ECN interaction)</w:t>
      </w:r>
      <w:bookmarkStart w:id="29" w:name="fnref1:3"/>
      <w:bookmarkEnd w:id="2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 PMC10541614 (DMN stimulation reduces creativity)</w:t>
      </w:r>
      <w:bookmarkStart w:id="30" w:name="fnref2:7"/>
      <w:bookmarkEnd w:id="3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 PMC4410786 (IFG-DMN connectivity)</w:t>
      </w:r>
      <w:bookmarkStart w:id="31" w:name="fnref4:7"/>
      <w:bookmarkEnd w:id="3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 Frontiers in Human Neuroscience (DMN-TPN in schizophrenia)</w:t>
      </w:r>
      <w:bookmarkStart w:id="32" w:name="fnref5:3"/>
      <w:bookmarkEnd w:id="3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 University of Utah Study (DMN’s role in originality)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3" w:name="fn1"/>
    <w:bookmarkEnd w:id="33"/>
    <w:p>
      <w:pPr>
        <w:numPr>
          <w:ilvl w:val="0"/>
          <w:numId w:val="9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https://pmc.ncbi.nlm.nih.gov/articles/PMC10541614/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2"/>
    <w:bookmarkEnd w:id="34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https://pmc.ncbi.nlm.nih.gov/articles/PMC4410786/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3"/>
    <w:bookmarkEnd w:id="35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https://pmc.ncbi.nlm.nih.gov/articles/PMC5490683/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4"/>
    <w:bookmarkEnd w:id="36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https://www.frontiersin.org/journals/human-neuroscience/articles/10.3389/fnhum.2022.956831/full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5"/>
    <w:bookmarkEnd w:id="37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https://medicine.utah.edu/neurosurgery/news/2025/01/mapping-creativity-role-of-default-mode-network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6"/>
    <w:bookmarkEnd w:id="38"/>
    <w:p>
      <w:pPr>
        <w:numPr>
          <w:ilvl w:val="0"/>
          <w:numId w:val="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https://pmc.ncbi.nlm.nih.gov/articles/PMC6034981/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0bd5b92377e51e62ece89fb7baa46a3cb556cf7.png" TargetMode="Internal"/><Relationship Id="rId6" Type="http://schemas.openxmlformats.org/officeDocument/2006/relationships/hyperlink" Target="https://pmc.ncbi.nlm.nih.gov/articles/PMC10541614/" TargetMode="External"/><Relationship Id="rId7" Type="http://schemas.openxmlformats.org/officeDocument/2006/relationships/hyperlink" Target="https://pmc.ncbi.nlm.nih.gov/articles/PMC4410786/" TargetMode="External"/><Relationship Id="rId8" Type="http://schemas.openxmlformats.org/officeDocument/2006/relationships/hyperlink" Target="https://pmc.ncbi.nlm.nih.gov/articles/PMC5490683/" TargetMode="External"/><Relationship Id="rId9" Type="http://schemas.openxmlformats.org/officeDocument/2006/relationships/hyperlink" Target="https://www.frontiersin.org/journals/human-neuroscience/articles/10.3389/fnhum.2022.956831/full" TargetMode="External"/><Relationship Id="rId10" Type="http://schemas.openxmlformats.org/officeDocument/2006/relationships/hyperlink" Target="https://medicine.utah.edu/neurosurgery/news/2025/01/mapping-creativity-role-of-default-mode-network" TargetMode="External"/><Relationship Id="rId11" Type="http://schemas.openxmlformats.org/officeDocument/2006/relationships/hyperlink" Target="https://pmc.ncbi.nlm.nih.gov/articles/PMC6034981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2025-04-17T16:08:38.245Z</dcterms:created>
  <dcterms:modified xsi:type="dcterms:W3CDTF">2025-04-17T16:08:38.245Z</dcterms:modified>
</cp:coreProperties>
</file>