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4899f66470f8815a491328bef71b089d7e6cd6e.png"/>
            <a:graphic>
              <a:graphicData uri="http://schemas.openxmlformats.org/drawingml/2006/picture">
                <pic:pic>
                  <pic:nvPicPr>
                    <pic:cNvPr id="1" name="image-b4899f66470f8815a491328bef71b089d7e6cd6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Ensuring Diverse and Current LLM Training Data: Strategies and the Model Collapse Debate</w:t>
      </w:r>
    </w:p>
    <w:p>
      <w:pPr>
        <w:spacing w:line="360" w:after="210" w:lineRule="auto"/>
      </w:pPr>
      <w:r>
        <w:rPr>
          <w:rFonts w:eastAsia="inter" w:cs="inter" w:ascii="inter" w:hAnsi="inter"/>
          <w:color w:val="000000"/>
        </w:rPr>
        <w:t xml:space="preserve">The rapid evolution of Large Language Models (LLMs) has intensified debates about data diversity, recency, and the risks of AI-generated training data. This analysis synthesizes current research to address two critical questions: </w:t>
      </w:r>
      <w:r>
        <w:rPr>
          <w:rFonts w:eastAsia="inter" w:cs="inter" w:ascii="inter" w:hAnsi="inter"/>
          <w:b/>
          <w:color w:val="000000"/>
        </w:rPr>
        <w:t xml:space="preserve">How can we ensure LLMs are trained on diverse, up-to-date data?</w:t>
      </w:r>
      <w:r>
        <w:rPr>
          <w:rFonts w:eastAsia="inter" w:cs="inter" w:ascii="inter" w:hAnsi="inter"/>
          <w:color w:val="000000"/>
        </w:rPr>
        <w:t xml:space="preserve"> and </w:t>
      </w:r>
      <w:r>
        <w:rPr>
          <w:rFonts w:eastAsia="inter" w:cs="inter" w:ascii="inter" w:hAnsi="inter"/>
          <w:b/>
          <w:color w:val="000000"/>
        </w:rPr>
        <w:t xml:space="preserve">Will AI trained on synthetic data collapse?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Strategies for Diverse and Current Training Data</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Enhancing Data Diversity</w:t>
      </w:r>
    </w:p>
    <w:p>
      <w:pPr>
        <w:spacing w:line="360" w:after="210" w:lineRule="auto"/>
      </w:pPr>
      <w:r>
        <w:rPr>
          <w:rFonts w:eastAsia="inter" w:cs="inter" w:ascii="inter" w:hAnsi="inter"/>
          <w:b/>
          <w:color w:val="000000"/>
        </w:rPr>
        <w:t xml:space="preserve">a. Cross-Domain Data Integration</w:t>
      </w:r>
      <w:r>
        <w:rPr>
          <w:rFonts w:eastAsia="inter" w:cs="inter" w:ascii="inter" w:hAnsi="inter"/>
          <w:color w:val="000000"/>
        </w:rPr>
        <w:br w:type="textWrapping"/>
      </w:r>
      <w:r>
        <w:rPr>
          <w:rFonts w:eastAsia="inter" w:cs="inter" w:ascii="inter" w:hAnsi="inter"/>
          <w:color w:val="000000"/>
        </w:rPr>
        <w:t xml:space="preserve">Breaking down data silos across disciplines (e.g., legal, medical, cultural texts) ensures models capture domain-specific nuances. For instance, IBM’s AI Fairness 360 toolkit helps identify and reweight underrepresented groups in datasets, improving demographic coverage</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Enterprise-wide repositories with governance policies streamline access while maintaining security</w:t>
      </w:r>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b. Synthetic Data Generation</w:t>
      </w:r>
      <w:r>
        <w:rPr>
          <w:rFonts w:eastAsia="inter" w:cs="inter" w:ascii="inter" w:hAnsi="inter"/>
          <w:color w:val="000000"/>
        </w:rPr>
        <w:br w:type="textWrapping"/>
      </w:r>
      <w:r>
        <w:rPr>
          <w:rFonts w:eastAsia="inter" w:cs="inter" w:ascii="inter" w:hAnsi="inter"/>
          <w:color w:val="000000"/>
        </w:rPr>
        <w:t xml:space="preserve">LLMs like GPT-4 can generate synthetic data to fill gaps in low-resource languages or niche domains. For example, hospitals use synthetic patient records to preserve privacy while maintaining diagnostic accuracy</w:t>
      </w:r>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However, over-reliance risks homogeneity, necessitating hybrid human-AI curation</w:t>
      </w:r>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c. Multilingual and Multicultural Sourcing</w:t>
      </w:r>
      <w:r>
        <w:rPr>
          <w:rFonts w:eastAsia="inter" w:cs="inter" w:ascii="inter" w:hAnsi="inter"/>
          <w:color w:val="000000"/>
        </w:rPr>
        <w:br w:type="textWrapping"/>
      </w:r>
      <w:r>
        <w:rPr>
          <w:rFonts w:eastAsia="inter" w:cs="inter" w:ascii="inter" w:hAnsi="inter"/>
          <w:color w:val="000000"/>
        </w:rPr>
        <w:t xml:space="preserve">Curating datasets across languages and dialects reduces geographic bias. The Partnership on AI advocates involving local communities to identify culturally relevant sources, avoiding reliance on low-quality automated translations</w:t>
      </w:r>
      <w:bookmarkStart w:id="7" w:name="fnref8"/>
      <w:bookmarkEnd w:id="7"/>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Maintaining Data Recency</w:t>
      </w:r>
    </w:p>
    <w:p>
      <w:pPr>
        <w:spacing w:line="360" w:after="210" w:lineRule="auto"/>
      </w:pPr>
      <w:r>
        <w:rPr>
          <w:rFonts w:eastAsia="inter" w:cs="inter" w:ascii="inter" w:hAnsi="inter"/>
          <w:b/>
          <w:color w:val="000000"/>
        </w:rPr>
        <w:t xml:space="preserve">a. Continuous Learning Frameworks</w:t>
      </w:r>
    </w:p>
    <w:p>
      <w:pPr>
        <w:numPr>
          <w:ilvl w:val="0"/>
          <w:numId w:val="1"/>
        </w:numPr>
        <w:spacing w:line="360" w:before="105" w:after="105" w:lineRule="auto"/>
      </w:pPr>
      <w:r>
        <w:rPr>
          <w:rFonts w:eastAsia="inter" w:cs="inter" w:ascii="inter" w:hAnsi="inter"/>
          <w:b/>
          <w:color w:val="000000"/>
          <w:sz w:val="21"/>
        </w:rPr>
        <w:t xml:space="preserve">Incremental Training</w:t>
      </w:r>
      <w:r>
        <w:rPr>
          <w:rFonts w:eastAsia="inter" w:cs="inter" w:ascii="inter" w:hAnsi="inter"/>
          <w:color w:val="000000"/>
          <w:sz w:val="21"/>
        </w:rPr>
        <w:t xml:space="preserve">: Transfer learning updates models with new data without full retraining, cutting costs by ~30%</w:t>
      </w:r>
      <w:bookmarkStart w:id="8" w:name="fnref9"/>
      <w:bookmarkEnd w:id="8"/>
      <w:hyperlink w:anchor="fn9">
        <w:r>
          <w:rPr>
            <w:rFonts w:eastAsia="inter" w:cs="inter" w:ascii="inter" w:hAnsi="inter"/>
            <w:color w:val="#000"/>
            <w:sz w:val="21"/>
            <w:u w:val="single"/>
            <w:vertAlign w:val="superscript"/>
          </w:rPr>
          <w:t xml:space="preserve">[9]</w:t>
        </w:r>
      </w:hyperlink>
      <w:bookmarkStart w:id="9" w:name="fnref10"/>
      <w:bookmarkEnd w:id="9"/>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Retrieval-Augmented Generation (RAG)</w:t>
      </w:r>
      <w:r>
        <w:rPr>
          <w:rFonts w:eastAsia="inter" w:cs="inter" w:ascii="inter" w:hAnsi="inter"/>
          <w:color w:val="000000"/>
          <w:sz w:val="21"/>
        </w:rPr>
        <w:t xml:space="preserve">: Dynamically pull from updated databases during inference, bypassing static knowledge cutoffs (e.g., real-time financial reports)</w:t>
      </w:r>
      <w:bookmarkStart w:id="10" w:name="fnref10:1"/>
      <w:bookmarkEnd w:id="10"/>
      <w:hyperlink w:anchor="fn10">
        <w:r>
          <w:rPr>
            <w:rFonts w:eastAsia="inter" w:cs="inter" w:ascii="inter" w:hAnsi="inter"/>
            <w:color w:val="#000"/>
            <w:sz w:val="21"/>
            <w:u w:val="single"/>
            <w:vertAlign w:val="superscript"/>
          </w:rPr>
          <w:t xml:space="preserve">[10]</w:t>
        </w:r>
      </w:hyperlink>
      <w:bookmarkStart w:id="11" w:name="fnref11"/>
      <w:bookmarkEnd w:id="11"/>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b. Automated Data Pipelines</w:t>
      </w:r>
      <w:r>
        <w:rPr>
          <w:rFonts w:eastAsia="inter" w:cs="inter" w:ascii="inter" w:hAnsi="inter"/>
          <w:color w:val="000000"/>
        </w:rPr>
        <w:br w:type="textWrapping"/>
      </w:r>
      <w:r>
        <w:rPr>
          <w:rFonts w:eastAsia="inter" w:cs="inter" w:ascii="inter" w:hAnsi="inter"/>
          <w:color w:val="000000"/>
        </w:rPr>
        <w:t xml:space="preserve">Tools like Hugging Face’s datasets library ingest and preprocess new data (social media, academic papers) while filtering toxic content</w:t>
      </w:r>
      <w:bookmarkStart w:id="12" w:name="fnref1:1"/>
      <w:bookmarkEnd w:id="12"/>
      <w:hyperlink w:anchor="fn1">
        <w:r>
          <w:rPr>
            <w:rFonts w:eastAsia="inter" w:cs="inter" w:ascii="inter" w:hAnsi="inter"/>
            <w:color w:val="#000"/>
            <w:u w:val="single"/>
            <w:vertAlign w:val="superscript"/>
          </w:rPr>
          <w:t xml:space="preserve">[1]</w:t>
        </w:r>
      </w:hyperlink>
      <w:bookmarkStart w:id="13" w:name="fnref9:1"/>
      <w:bookmarkEnd w:id="13"/>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Monitoring language evolution (e.g., slang, technical jargon) flags outdated corpora</w:t>
      </w:r>
      <w:bookmarkStart w:id="14" w:name="fnref1:2"/>
      <w:bookmarkEnd w:id="1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c. Ethical and Transparent Practices</w:t>
      </w:r>
      <w:r>
        <w:rPr>
          <w:rFonts w:eastAsia="inter" w:cs="inter" w:ascii="inter" w:hAnsi="inter"/>
          <w:color w:val="000000"/>
        </w:rPr>
        <w:br w:type="textWrapping"/>
      </w:r>
      <w:r>
        <w:rPr>
          <w:rFonts w:eastAsia="inter" w:cs="inter" w:ascii="inter" w:hAnsi="inter"/>
          <w:color w:val="000000"/>
        </w:rPr>
        <w:t xml:space="preserve">Documenting data sources, preprocessing steps, and bias audits ensures reproducibility. Publicly disclosing limitations (e.g., knowledge cutoffs) builds trust</w:t>
      </w:r>
      <w:bookmarkStart w:id="15" w:name="fnref1:3"/>
      <w:bookmarkEnd w:id="15"/>
      <w:hyperlink w:anchor="fn1">
        <w:r>
          <w:rPr>
            <w:rFonts w:eastAsia="inter" w:cs="inter" w:ascii="inter" w:hAnsi="inter"/>
            <w:color w:val="#000"/>
            <w:u w:val="single"/>
            <w:vertAlign w:val="superscript"/>
          </w:rPr>
          <w:t xml:space="preserve">[1]</w:t>
        </w:r>
      </w:hyperlink>
      <w:bookmarkStart w:id="16" w:name="fnref8:1"/>
      <w:bookmarkEnd w:id="16"/>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Model Collapse Crisis: Risks of AI-Generated Data</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Understanding Model Collapse</w:t>
      </w:r>
    </w:p>
    <w:p>
      <w:pPr>
        <w:spacing w:line="360" w:after="210" w:lineRule="auto"/>
      </w:pPr>
      <w:r>
        <w:rPr>
          <w:rFonts w:eastAsia="inter" w:cs="inter" w:ascii="inter" w:hAnsi="inter"/>
          <w:color w:val="000000"/>
        </w:rPr>
        <w:t xml:space="preserve">Model collapse occurs when LLMs trained on synthetic data lose information about the original data distribution. Key stages:</w:t>
      </w:r>
    </w:p>
    <w:p>
      <w:pPr>
        <w:numPr>
          <w:ilvl w:val="0"/>
          <w:numId w:val="2"/>
        </w:numPr>
        <w:spacing w:line="360" w:before="105" w:after="105" w:lineRule="auto"/>
      </w:pPr>
      <w:r>
        <w:rPr>
          <w:rFonts w:eastAsia="inter" w:cs="inter" w:ascii="inter" w:hAnsi="inter"/>
          <w:b/>
          <w:color w:val="000000"/>
          <w:sz w:val="21"/>
        </w:rPr>
        <w:t xml:space="preserve">Early Collapse</w:t>
      </w:r>
      <w:r>
        <w:rPr>
          <w:rFonts w:eastAsia="inter" w:cs="inter" w:ascii="inter" w:hAnsi="inter"/>
          <w:color w:val="000000"/>
          <w:sz w:val="21"/>
        </w:rPr>
        <w:t xml:space="preserve">: Rare or marginalized data (e.g., low-frequency medical conditions) disappear from outputs</w:t>
      </w:r>
      <w:bookmarkStart w:id="17" w:name="fnref12"/>
      <w:bookmarkEnd w:id="17"/>
      <w:hyperlink w:anchor="fn12">
        <w:r>
          <w:rPr>
            <w:rFonts w:eastAsia="inter" w:cs="inter" w:ascii="inter" w:hAnsi="inter"/>
            <w:color w:val="#000"/>
            <w:sz w:val="21"/>
            <w:u w:val="single"/>
            <w:vertAlign w:val="superscript"/>
          </w:rPr>
          <w:t xml:space="preserve">[12]</w:t>
        </w:r>
      </w:hyperlink>
      <w:bookmarkStart w:id="18" w:name="fnref13"/>
      <w:bookmarkEnd w:id="18"/>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Late Collapse</w:t>
      </w:r>
      <w:r>
        <w:rPr>
          <w:rFonts w:eastAsia="inter" w:cs="inter" w:ascii="inter" w:hAnsi="inter"/>
          <w:color w:val="000000"/>
          <w:sz w:val="21"/>
        </w:rPr>
        <w:t xml:space="preserve">: Outputs degenerate into nonsensical or homogeneous text (e.g., GPT-4 generating gibberish about "jackrabbit tail colors" in church tower articles)</w:t>
      </w:r>
      <w:bookmarkStart w:id="19" w:name="fnref14"/>
      <w:bookmarkEnd w:id="19"/>
      <w:hyperlink w:anchor="fn14">
        <w:r>
          <w:rPr>
            <w:rFonts w:eastAsia="inter" w:cs="inter" w:ascii="inter" w:hAnsi="inter"/>
            <w:color w:val="#000"/>
            <w:sz w:val="21"/>
            <w:u w:val="single"/>
            <w:vertAlign w:val="superscript"/>
          </w:rPr>
          <w:t xml:space="preserve">[14]</w:t>
        </w:r>
      </w:hyperlink>
      <w:bookmarkStart w:id="20" w:name="fnref15"/>
      <w:bookmarkEnd w:id="20"/>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Mechanisms</w:t>
      </w:r>
      <w:r>
        <w:rPr>
          <w:rFonts w:eastAsia="inter" w:cs="inter" w:ascii="inter" w:hAnsi="inter"/>
          <w:color w:val="000000"/>
        </w:rPr>
        <w:t xml:space="preserve">:</w:t>
      </w:r>
    </w:p>
    <w:p>
      <w:pPr>
        <w:numPr>
          <w:ilvl w:val="0"/>
          <w:numId w:val="3"/>
        </w:numPr>
        <w:spacing w:line="360" w:before="105" w:after="105" w:lineRule="auto"/>
      </w:pPr>
      <w:r>
        <w:rPr>
          <w:rFonts w:eastAsia="inter" w:cs="inter" w:ascii="inter" w:hAnsi="inter"/>
          <w:b/>
          <w:color w:val="000000"/>
          <w:sz w:val="21"/>
        </w:rPr>
        <w:t xml:space="preserve">Error Accumulation</w:t>
      </w:r>
      <w:r>
        <w:rPr>
          <w:rFonts w:eastAsia="inter" w:cs="inter" w:ascii="inter" w:hAnsi="inter"/>
          <w:color w:val="000000"/>
          <w:sz w:val="21"/>
        </w:rPr>
        <w:t xml:space="preserve">: Imperfections in synthetic data compound across generations</w:t>
      </w:r>
      <w:bookmarkStart w:id="21" w:name="fnref16"/>
      <w:bookmarkEnd w:id="21"/>
      <w:hyperlink w:anchor="fn16">
        <w:r>
          <w:rPr>
            <w:rFonts w:eastAsia="inter" w:cs="inter" w:ascii="inter" w:hAnsi="inter"/>
            <w:color w:val="#000"/>
            <w:sz w:val="21"/>
            <w:u w:val="single"/>
            <w:vertAlign w:val="superscript"/>
          </w:rPr>
          <w:t xml:space="preserve">[16]</w:t>
        </w:r>
      </w:hyperlink>
      <w:bookmarkStart w:id="22" w:name="fnref17"/>
      <w:bookmarkEnd w:id="22"/>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Feedback Loops</w:t>
      </w:r>
      <w:r>
        <w:rPr>
          <w:rFonts w:eastAsia="inter" w:cs="inter" w:ascii="inter" w:hAnsi="inter"/>
          <w:color w:val="000000"/>
          <w:sz w:val="21"/>
        </w:rPr>
        <w:t xml:space="preserve">: Declining human contributions (e.g., Stack Overflow posts dropped 25% post-ChatGPT) starve models of novel inputs</w:t>
      </w:r>
      <w:bookmarkStart w:id="23" w:name="fnref18"/>
      <w:bookmarkEnd w:id="23"/>
      <w:hyperlink w:anchor="fn18">
        <w:r>
          <w:rPr>
            <w:rFonts w:eastAsia="inter" w:cs="inter" w:ascii="inter" w:hAnsi="inter"/>
            <w:color w:val="#000"/>
            <w:sz w:val="21"/>
            <w:u w:val="single"/>
            <w:vertAlign w:val="superscript"/>
          </w:rPr>
          <w:t xml:space="preserve">[18]</w:t>
        </w:r>
      </w:hyperlink>
      <w:bookmarkStart w:id="24" w:name="fnref15:1"/>
      <w:bookmarkEnd w:id="24"/>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Empirical Evidence</w:t>
      </w:r>
    </w:p>
    <w:p>
      <w:pPr>
        <w:numPr>
          <w:ilvl w:val="0"/>
          <w:numId w:val="4"/>
        </w:numPr>
        <w:spacing w:line="360" w:before="105" w:after="105" w:lineRule="auto"/>
      </w:pPr>
      <w:r>
        <w:rPr>
          <w:rFonts w:eastAsia="inter" w:cs="inter" w:ascii="inter" w:hAnsi="inter"/>
          <w:b/>
          <w:color w:val="000000"/>
          <w:sz w:val="21"/>
        </w:rPr>
        <w:t xml:space="preserve">Text Degradation</w:t>
      </w:r>
      <w:r>
        <w:rPr>
          <w:rFonts w:eastAsia="inter" w:cs="inter" w:ascii="inter" w:hAnsi="inter"/>
          <w:color w:val="000000"/>
          <w:sz w:val="21"/>
        </w:rPr>
        <w:t xml:space="preserve">: Training GPT-2 on its own outputs for nine iterations reduced coherence by 78%</w:t>
      </w:r>
      <w:bookmarkStart w:id="25" w:name="fnref12:1"/>
      <w:bookmarkEnd w:id="25"/>
      <w:hyperlink w:anchor="fn12">
        <w:r>
          <w:rPr>
            <w:rFonts w:eastAsia="inter" w:cs="inter" w:ascii="inter" w:hAnsi="inter"/>
            <w:color w:val="#000"/>
            <w:sz w:val="21"/>
            <w:u w:val="single"/>
            <w:vertAlign w:val="superscript"/>
          </w:rPr>
          <w:t xml:space="preserve">[12]</w:t>
        </w:r>
      </w:hyperlink>
      <w:bookmarkStart w:id="26" w:name="fnref14:1"/>
      <w:bookmarkEnd w:id="26"/>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Bias Amplification</w:t>
      </w:r>
      <w:r>
        <w:rPr>
          <w:rFonts w:eastAsia="inter" w:cs="inter" w:ascii="inter" w:hAnsi="inter"/>
          <w:color w:val="000000"/>
          <w:sz w:val="21"/>
        </w:rPr>
        <w:t xml:space="preserve">: Models trained on synthetic data amplified gender stereotypes by 34% compared to human-curated datasets</w:t>
      </w:r>
      <w:bookmarkStart w:id="27" w:name="fnref2:1"/>
      <w:bookmarkEnd w:id="27"/>
      <w:hyperlink w:anchor="fn2">
        <w:r>
          <w:rPr>
            <w:rFonts w:eastAsia="inter" w:cs="inter" w:ascii="inter" w:hAnsi="inter"/>
            <w:color w:val="#000"/>
            <w:sz w:val="21"/>
            <w:u w:val="single"/>
            <w:vertAlign w:val="superscript"/>
          </w:rPr>
          <w:t xml:space="preserve">[2]</w:t>
        </w:r>
      </w:hyperlink>
      <w:bookmarkStart w:id="28" w:name="fnref13:1"/>
      <w:bookmarkEnd w:id="28"/>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Economic Impact</w:t>
      </w:r>
      <w:r>
        <w:rPr>
          <w:rFonts w:eastAsia="inter" w:cs="inter" w:ascii="inter" w:hAnsi="inter"/>
          <w:color w:val="000000"/>
          <w:sz w:val="21"/>
        </w:rPr>
        <w:t xml:space="preserve">: Projected $2.3 trillion loss in tech sector value by 2030 due to innovation slowdowns</w:t>
      </w:r>
      <w:bookmarkStart w:id="29" w:name="fnref18:1"/>
      <w:bookmarkEnd w:id="29"/>
      <w:hyperlink w:anchor="fn18">
        <w:r>
          <w:rPr>
            <w:rFonts w:eastAsia="inter" w:cs="inter" w:ascii="inter" w:hAnsi="inter"/>
            <w:color w:val="#000"/>
            <w:sz w:val="21"/>
            <w:u w:val="single"/>
            <w:vertAlign w:val="superscript"/>
          </w:rPr>
          <w:t xml:space="preserve">[18]</w:t>
        </w:r>
      </w:hyperlink>
      <w:bookmarkStart w:id="30" w:name="fnref15:2"/>
      <w:bookmarkEnd w:id="30"/>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Mitigation Strategies</w:t>
      </w:r>
    </w:p>
    <w:p>
      <w:pPr>
        <w:spacing w:line="360" w:after="210" w:lineRule="auto"/>
      </w:pPr>
      <w:r>
        <w:rPr>
          <w:rFonts w:eastAsia="inter" w:cs="inter" w:ascii="inter" w:hAnsi="inter"/>
          <w:b/>
          <w:color w:val="000000"/>
        </w:rPr>
        <w:t xml:space="preserve">a. Human-in-the-Loop Curation</w:t>
      </w:r>
      <w:r>
        <w:rPr>
          <w:rFonts w:eastAsia="inter" w:cs="inter" w:ascii="inter" w:hAnsi="inter"/>
          <w:color w:val="000000"/>
        </w:rPr>
        <w:br w:type="textWrapping"/>
      </w:r>
      <w:r>
        <w:rPr>
          <w:rFonts w:eastAsia="inter" w:cs="inter" w:ascii="inter" w:hAnsi="inter"/>
          <w:color w:val="000000"/>
        </w:rPr>
        <w:t xml:space="preserve">Hybrid approaches blending synthetic and human data preserve diversity. For example, DeepMind’s AlphaGeometry combines AI-generated proofs with mathematician validation</w:t>
      </w:r>
      <w:bookmarkStart w:id="31" w:name="fnref12:2"/>
      <w:bookmarkEnd w:id="31"/>
      <w:hyperlink w:anchor="fn12">
        <w:r>
          <w:rPr>
            <w:rFonts w:eastAsia="inter" w:cs="inter" w:ascii="inter" w:hAnsi="inter"/>
            <w:color w:val="#000"/>
            <w:u w:val="single"/>
            <w:vertAlign w:val="superscript"/>
          </w:rPr>
          <w:t xml:space="preserve">[12]</w:t>
        </w:r>
      </w:hyperlink>
      <w:bookmarkStart w:id="32" w:name="fnref7:1"/>
      <w:bookmarkEnd w:id="32"/>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b. Detection and Filtering</w:t>
      </w:r>
      <w:r>
        <w:rPr>
          <w:rFonts w:eastAsia="inter" w:cs="inter" w:ascii="inter" w:hAnsi="inter"/>
          <w:color w:val="000000"/>
        </w:rPr>
        <w:br w:type="textWrapping"/>
      </w:r>
      <w:r>
        <w:rPr>
          <w:rFonts w:eastAsia="inter" w:cs="inter" w:ascii="inter" w:hAnsi="inter"/>
          <w:color w:val="000000"/>
        </w:rPr>
        <w:t xml:space="preserve">AI watermarking (e.g., Google’s SynthID) and statistical anomaly detection (e.g., perplexity scoring) identify synthetic content for removal</w:t>
      </w:r>
      <w:bookmarkStart w:id="33" w:name="fnref18:2"/>
      <w:bookmarkEnd w:id="33"/>
      <w:hyperlink w:anchor="fn18">
        <w:r>
          <w:rPr>
            <w:rFonts w:eastAsia="inter" w:cs="inter" w:ascii="inter" w:hAnsi="inter"/>
            <w:color w:val="#000"/>
            <w:u w:val="single"/>
            <w:vertAlign w:val="superscript"/>
          </w:rPr>
          <w:t xml:space="preserve">[18]</w:t>
        </w:r>
      </w:hyperlink>
      <w:bookmarkStart w:id="34" w:name="fnref13:2"/>
      <w:bookmarkEnd w:id="34"/>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c. Preserving Human Data</w:t>
      </w:r>
      <w:r>
        <w:rPr>
          <w:rFonts w:eastAsia="inter" w:cs="inter" w:ascii="inter" w:hAnsi="inter"/>
          <w:color w:val="000000"/>
        </w:rPr>
        <w:br w:type="textWrapping"/>
      </w:r>
      <w:r>
        <w:rPr>
          <w:rFonts w:eastAsia="inter" w:cs="inter" w:ascii="inter" w:hAnsi="inter"/>
          <w:color w:val="000000"/>
        </w:rPr>
        <w:t xml:space="preserve">Platforms like Wikipedia and GitHub remain critical. Initiatives to incentivize human contributions (e.g., monetization programs) counter the "contribution collapse"</w:t>
      </w:r>
      <w:bookmarkStart w:id="35" w:name="fnref18:3"/>
      <w:bookmarkEnd w:id="35"/>
      <w:hyperlink w:anchor="fn18">
        <w:r>
          <w:rPr>
            <w:rFonts w:eastAsia="inter" w:cs="inter" w:ascii="inter" w:hAnsi="inter"/>
            <w:color w:val="#000"/>
            <w:u w:val="single"/>
            <w:vertAlign w:val="superscript"/>
          </w:rPr>
          <w:t xml:space="preserve">[18]</w:t>
        </w:r>
      </w:hyperlink>
      <w:bookmarkStart w:id="36" w:name="fnref8:2"/>
      <w:bookmarkEnd w:id="36"/>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Synthesis: Balancing Innovation and Stability</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 Path Forward</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Strategy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Benefit</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Risk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Synthetic Data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Scales niche domain coverage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Homogeneity and error propagation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Continuous Learning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Keeps models current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High compute costs (~$100M for GPT-4)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Human-AI Collaboration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Preserves diversity and ethics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Slower iteration cycles</w:t>
            </w:r>
          </w:p>
        </w:tc>
      </w:tr>
    </w:tbl>
    <w:p>
      <w:pPr>
        <w:spacing w:lineRule="auto"/>
      </w:pP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Critical Trade-offs</w:t>
      </w:r>
    </w:p>
    <w:p>
      <w:pPr>
        <w:numPr>
          <w:ilvl w:val="0"/>
          <w:numId w:val="5"/>
        </w:numPr>
        <w:spacing w:line="360" w:before="105" w:after="105" w:lineRule="auto"/>
      </w:pPr>
      <w:r>
        <w:rPr>
          <w:rFonts w:eastAsia="inter" w:cs="inter" w:ascii="inter" w:hAnsi="inter"/>
          <w:b/>
          <w:color w:val="000000"/>
          <w:sz w:val="21"/>
        </w:rPr>
        <w:t xml:space="preserve">Cost vs. Freshness</w:t>
      </w:r>
      <w:r>
        <w:rPr>
          <w:rFonts w:eastAsia="inter" w:cs="inter" w:ascii="inter" w:hAnsi="inter"/>
          <w:color w:val="000000"/>
          <w:sz w:val="21"/>
        </w:rPr>
        <w:t xml:space="preserve">: Full retraining ensures accuracy but is prohibitively expensive. RAG offers real-time updates but increases latency</w:t>
      </w:r>
      <w:bookmarkStart w:id="37" w:name="fnref10:2"/>
      <w:bookmarkEnd w:id="37"/>
      <w:hyperlink w:anchor="fn10">
        <w:r>
          <w:rPr>
            <w:rFonts w:eastAsia="inter" w:cs="inter" w:ascii="inter" w:hAnsi="inter"/>
            <w:color w:val="#000"/>
            <w:sz w:val="21"/>
            <w:u w:val="single"/>
            <w:vertAlign w:val="superscript"/>
          </w:rPr>
          <w:t xml:space="preserve">[10]</w:t>
        </w:r>
      </w:hyperlink>
      <w:bookmarkStart w:id="38" w:name="fnref11:1"/>
      <w:bookmarkEnd w:id="38"/>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Diversity vs. Performance</w:t>
      </w:r>
      <w:r>
        <w:rPr>
          <w:rFonts w:eastAsia="inter" w:cs="inter" w:ascii="inter" w:hAnsi="inter"/>
          <w:color w:val="000000"/>
          <w:sz w:val="21"/>
        </w:rPr>
        <w:t xml:space="preserve">: Over-correction for diversity reduces task-specific accuracy (e.g., medical LLMs prioritizing inclusivity over diagnosis)</w:t>
      </w:r>
      <w:bookmarkStart w:id="39" w:name="fnref1:4"/>
      <w:bookmarkEnd w:id="39"/>
      <w:hyperlink w:anchor="fn1">
        <w:r>
          <w:rPr>
            <w:rFonts w:eastAsia="inter" w:cs="inter" w:ascii="inter" w:hAnsi="inter"/>
            <w:color w:val="#000"/>
            <w:sz w:val="21"/>
            <w:u w:val="single"/>
            <w:vertAlign w:val="superscript"/>
          </w:rPr>
          <w:t xml:space="preserve">[1]</w:t>
        </w:r>
      </w:hyperlink>
      <w:bookmarkStart w:id="40" w:name="fnref13:3"/>
      <w:bookmarkEnd w:id="40"/>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Recommendations</w:t>
      </w:r>
    </w:p>
    <w:p>
      <w:pPr>
        <w:numPr>
          <w:ilvl w:val="0"/>
          <w:numId w:val="6"/>
        </w:numPr>
        <w:spacing w:line="360" w:before="105" w:after="105" w:lineRule="auto"/>
      </w:pPr>
      <w:r>
        <w:rPr>
          <w:rFonts w:eastAsia="inter" w:cs="inter" w:ascii="inter" w:hAnsi="inter"/>
          <w:b/>
          <w:color w:val="000000"/>
          <w:sz w:val="21"/>
        </w:rPr>
        <w:t xml:space="preserve">Regulatory Action</w:t>
      </w:r>
      <w:r>
        <w:rPr>
          <w:rFonts w:eastAsia="inter" w:cs="inter" w:ascii="inter" w:hAnsi="inter"/>
          <w:color w:val="000000"/>
          <w:sz w:val="21"/>
        </w:rPr>
        <w:t xml:space="preserve">: Mandate transparency reports detailing data sources and synthetic ratios (e.g., EU AI Act)</w:t>
      </w:r>
      <w:bookmarkStart w:id="41" w:name="fnref8:3"/>
      <w:bookmarkEnd w:id="41"/>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Industry Standards</w:t>
      </w:r>
      <w:r>
        <w:rPr>
          <w:rFonts w:eastAsia="inter" w:cs="inter" w:ascii="inter" w:hAnsi="inter"/>
          <w:color w:val="000000"/>
          <w:sz w:val="21"/>
        </w:rPr>
        <w:t xml:space="preserve">: Adopt benchmarks like DCScore to quantify dataset diversity</w:t>
      </w:r>
      <w:bookmarkStart w:id="42" w:name="fnref19"/>
      <w:bookmarkEnd w:id="42"/>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Research Priorities</w:t>
      </w:r>
      <w:r>
        <w:rPr>
          <w:rFonts w:eastAsia="inter" w:cs="inter" w:ascii="inter" w:hAnsi="inter"/>
          <w:color w:val="000000"/>
          <w:sz w:val="21"/>
        </w:rPr>
        <w:t xml:space="preserve">: Invest in hybrid training frameworks (e.g., LoRA adapters + RAG) and model editing techniques</w:t>
      </w:r>
      <w:bookmarkStart w:id="43" w:name="fnref10:3"/>
      <w:bookmarkEnd w:id="43"/>
      <w:hyperlink w:anchor="fn10">
        <w:r>
          <w:rPr>
            <w:rFonts w:eastAsia="inter" w:cs="inter" w:ascii="inter" w:hAnsi="inter"/>
            <w:color w:val="#000"/>
            <w:sz w:val="21"/>
            <w:u w:val="single"/>
            <w:vertAlign w:val="superscript"/>
          </w:rPr>
          <w:t xml:space="preserve">[10]</w:t>
        </w:r>
      </w:hyperlink>
      <w:bookmarkStart w:id="44" w:name="fnref11:2"/>
      <w:bookmarkEnd w:id="44"/>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Ensuring diverse, up-to-date LLM training data requires a multifaceted approach: synthetic data for scalability, human oversight for quality, and continuous learning for adaptability. While model collapse poses an existential threat, it is preventable through vigilant curation and ethical AI practices. The future lies not in abandoning synthetic data but in </w:t>
      </w:r>
      <w:r>
        <w:rPr>
          <w:rFonts w:eastAsia="inter" w:cs="inter" w:ascii="inter" w:hAnsi="inter"/>
          <w:b/>
          <w:color w:val="000000"/>
        </w:rPr>
        <w:t xml:space="preserve">strategically blending it with human ingenuity</w:t>
      </w:r>
      <w:r>
        <w:rPr>
          <w:rFonts w:eastAsia="inter" w:cs="inter" w:ascii="inter" w:hAnsi="inter"/>
          <w:color w:val="000000"/>
        </w:rPr>
        <w:t xml:space="preserve">-a balance that sustains innovation while preserving the richness of human knowledge. As research advances, the imperative remains clear: AI must enhance, not replace, the diverse human ecosystems that fuel its growth.</w:t>
      </w:r>
    </w:p>
    <w:p>
      <w:pPr>
        <w:spacing w:line="360" w:after="210" w:lineRule="auto"/>
      </w:pPr>
      <w:r>
        <w:rPr>
          <w:rFonts w:eastAsia="inter" w:cs="inter" w:ascii="inter" w:hAnsi="inter"/>
          <w:b/>
          <w:color w:val="000000"/>
        </w:rPr>
        <w:t xml:space="preserve">Verdict</w:t>
      </w:r>
      <w:r>
        <w:rPr>
          <w:rFonts w:eastAsia="inter" w:cs="inter" w:ascii="inter" w:hAnsi="inter"/>
          <w:color w:val="000000"/>
        </w:rPr>
        <w:t xml:space="preserve">: AI trained </w:t>
      </w:r>
      <w:r>
        <w:rPr>
          <w:rFonts w:eastAsia="inter" w:cs="inter" w:ascii="inter" w:hAnsi="inter"/>
          <w:i/>
          <w:color w:val="000000"/>
        </w:rPr>
        <w:t xml:space="preserve">exclusively</w:t>
      </w:r>
      <w:r>
        <w:rPr>
          <w:rFonts w:eastAsia="inter" w:cs="inter" w:ascii="inter" w:hAnsi="inter"/>
          <w:color w:val="000000"/>
        </w:rPr>
        <w:t xml:space="preserve"> on synthetic data will collapse, but hybrid human-AI systems can thrive. Diversity and vigilance are the antidotes to degeneration.</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5" w:name="fn1"/>
    <w:bookmarkEnd w:id="45"/>
    <w:p>
      <w:pPr>
        <w:numPr>
          <w:ilvl w:val="0"/>
          <w:numId w:val="8"/>
        </w:numPr>
        <w:spacing w:line="360" w:after="210" w:lineRule="auto"/>
      </w:pPr>
      <w:hyperlink r:id="rId6">
        <w:r>
          <w:rPr>
            <w:rFonts w:eastAsia="inter" w:cs="inter" w:ascii="inter" w:hAnsi="inter"/>
            <w:color w:val="#000"/>
            <w:sz w:val="18"/>
            <w:u w:val="single"/>
          </w:rPr>
          <w:t xml:space="preserve">https://www.linkedin.com/pulse/ensuring-data-quality-diversity-effective-llm-training-pila--drepc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2"/>
    <w:bookmarkEnd w:id="46"/>
    <w:p>
      <w:pPr>
        <w:numPr>
          <w:ilvl w:val="0"/>
          <w:numId w:val="8"/>
        </w:numPr>
        <w:spacing w:line="360" w:after="210" w:lineRule="auto"/>
      </w:pPr>
      <w:hyperlink r:id="rId7">
        <w:r>
          <w:rPr>
            <w:rFonts w:eastAsia="inter" w:cs="inter" w:ascii="inter" w:hAnsi="inter"/>
            <w:color w:val="#000"/>
            <w:sz w:val="18"/>
            <w:u w:val="single"/>
          </w:rPr>
          <w:t xml:space="preserve">https://astconsulting.in/llms/llm-bias-mitigation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3"/>
    <w:bookmarkEnd w:id="47"/>
    <w:p>
      <w:pPr>
        <w:numPr>
          <w:ilvl w:val="0"/>
          <w:numId w:val="8"/>
        </w:numPr>
        <w:spacing w:line="360" w:after="210" w:lineRule="auto"/>
      </w:pPr>
      <w:hyperlink r:id="rId8">
        <w:r>
          <w:rPr>
            <w:rFonts w:eastAsia="inter" w:cs="inter" w:ascii="inter" w:hAnsi="inter"/>
            <w:color w:val="#000"/>
            <w:sz w:val="18"/>
            <w:u w:val="single"/>
          </w:rPr>
          <w:t xml:space="preserve">https://www.snowflake.com/en/blog/five-steps-data-diversity-for-smarter-ai-models/</w:t>
        </w:r>
      </w:hyperlink>
      <w:r>
        <w:rPr>
          <w:rFonts w:eastAsia="inter" w:cs="inter" w:ascii="inter" w:hAnsi="inter"/>
          <w:color w:val="000000"/>
          <w:sz w:val="18"/>
        </w:rPr>
        <w:t xml:space="preserve"> </w:t>
      </w:r>
    </w:p>
    <w:bookmarkStart w:id="48" w:name="fn4"/>
    <w:bookmarkEnd w:id="48"/>
    <w:p>
      <w:pPr>
        <w:numPr>
          <w:ilvl w:val="0"/>
          <w:numId w:val="8"/>
        </w:numPr>
        <w:spacing w:line="360" w:after="210" w:lineRule="auto"/>
      </w:pPr>
      <w:hyperlink r:id="rId9">
        <w:r>
          <w:rPr>
            <w:rFonts w:eastAsia="inter" w:cs="inter" w:ascii="inter" w:hAnsi="inter"/>
            <w:color w:val="#000"/>
            <w:sz w:val="18"/>
            <w:u w:val="single"/>
          </w:rPr>
          <w:t xml:space="preserve">https://labelyourdata.com/articles/llm-fine-tuning/synthetic-data</w:t>
        </w:r>
      </w:hyperlink>
      <w:r>
        <w:rPr>
          <w:rFonts w:eastAsia="inter" w:cs="inter" w:ascii="inter" w:hAnsi="inter"/>
          <w:color w:val="000000"/>
          <w:sz w:val="18"/>
        </w:rPr>
        <w:t xml:space="preserve"> </w:t>
      </w:r>
    </w:p>
    <w:bookmarkStart w:id="49" w:name="fn5"/>
    <w:bookmarkEnd w:id="49"/>
    <w:p>
      <w:pPr>
        <w:numPr>
          <w:ilvl w:val="0"/>
          <w:numId w:val="8"/>
        </w:numPr>
        <w:spacing w:line="360" w:after="210" w:lineRule="auto"/>
      </w:pPr>
      <w:hyperlink r:id="rId10">
        <w:r>
          <w:rPr>
            <w:rFonts w:eastAsia="inter" w:cs="inter" w:ascii="inter" w:hAnsi="inter"/>
            <w:color w:val="#000"/>
            <w:sz w:val="18"/>
            <w:u w:val="single"/>
          </w:rPr>
          <w:t xml:space="preserve">https://www.camel-ai.org/blogs/llm-pretraining</w:t>
        </w:r>
      </w:hyperlink>
      <w:r>
        <w:rPr>
          <w:rFonts w:eastAsia="inter" w:cs="inter" w:ascii="inter" w:hAnsi="inter"/>
          <w:color w:val="000000"/>
          <w:sz w:val="18"/>
        </w:rPr>
        <w:t xml:space="preserve"> </w:t>
      </w:r>
    </w:p>
    <w:bookmarkStart w:id="50" w:name="fn6"/>
    <w:bookmarkEnd w:id="50"/>
    <w:p>
      <w:pPr>
        <w:numPr>
          <w:ilvl w:val="0"/>
          <w:numId w:val="8"/>
        </w:numPr>
        <w:spacing w:line="360" w:after="210" w:lineRule="auto"/>
      </w:pPr>
      <w:hyperlink r:id="rId11">
        <w:r>
          <w:rPr>
            <w:rFonts w:eastAsia="inter" w:cs="inter" w:ascii="inter" w:hAnsi="inter"/>
            <w:color w:val="#000"/>
            <w:sz w:val="18"/>
            <w:u w:val="single"/>
          </w:rPr>
          <w:t xml:space="preserve">https://www.confident-ai.com/blog/the-definitive-guide-to-synthetic-data-generation-using-llms</w:t>
        </w:r>
      </w:hyperlink>
      <w:r>
        <w:rPr>
          <w:rFonts w:eastAsia="inter" w:cs="inter" w:ascii="inter" w:hAnsi="inter"/>
          <w:color w:val="000000"/>
          <w:sz w:val="18"/>
        </w:rPr>
        <w:t xml:space="preserve"> </w:t>
      </w:r>
    </w:p>
    <w:bookmarkStart w:id="51" w:name="fn7"/>
    <w:bookmarkEnd w:id="51"/>
    <w:p>
      <w:pPr>
        <w:numPr>
          <w:ilvl w:val="0"/>
          <w:numId w:val="8"/>
        </w:numPr>
        <w:spacing w:line="360" w:after="210" w:lineRule="auto"/>
      </w:pPr>
      <w:hyperlink r:id="rId12">
        <w:r>
          <w:rPr>
            <w:rFonts w:eastAsia="inter" w:cs="inter" w:ascii="inter" w:hAnsi="inter"/>
            <w:color w:val="#000"/>
            <w:sz w:val="18"/>
            <w:u w:val="single"/>
          </w:rPr>
          <w:t xml:space="preserve">https://sciencemediacentre.es/en/ai-models-trained-ai-generated-data-can-crash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8"/>
    <w:bookmarkEnd w:id="52"/>
    <w:p>
      <w:pPr>
        <w:numPr>
          <w:ilvl w:val="0"/>
          <w:numId w:val="8"/>
        </w:numPr>
        <w:spacing w:line="360" w:after="210" w:lineRule="auto"/>
      </w:pPr>
      <w:hyperlink r:id="rId13">
        <w:r>
          <w:rPr>
            <w:rFonts w:eastAsia="inter" w:cs="inter" w:ascii="inter" w:hAnsi="inter"/>
            <w:color w:val="#000"/>
            <w:sz w:val="18"/>
            <w:u w:val="single"/>
          </w:rPr>
          <w:t xml:space="preserve">https://assets.mofoprod.net/network/documents/Best_Practices_for_Open_Datasets_for_LLM_Training_Draft_-_Dataset_Convening_2024.pdf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9"/>
    <w:bookmarkEnd w:id="53"/>
    <w:p>
      <w:pPr>
        <w:numPr>
          <w:ilvl w:val="0"/>
          <w:numId w:val="8"/>
        </w:numPr>
        <w:spacing w:line="360" w:after="210" w:lineRule="auto"/>
      </w:pPr>
      <w:hyperlink r:id="rId14">
        <w:r>
          <w:rPr>
            <w:rFonts w:eastAsia="inter" w:cs="inter" w:ascii="inter" w:hAnsi="inter"/>
            <w:color w:val="#000"/>
            <w:sz w:val="18"/>
            <w:u w:val="single"/>
          </w:rPr>
          <w:t xml:space="preserve">https://arxiv.org/html/2402.01364v1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10"/>
    <w:bookmarkEnd w:id="54"/>
    <w:p>
      <w:pPr>
        <w:numPr>
          <w:ilvl w:val="0"/>
          <w:numId w:val="8"/>
        </w:numPr>
        <w:spacing w:line="360" w:after="210" w:lineRule="auto"/>
      </w:pPr>
      <w:hyperlink r:id="rId15">
        <w:r>
          <w:rPr>
            <w:rFonts w:eastAsia="inter" w:cs="inter" w:ascii="inter" w:hAnsi="inter"/>
            <w:color w:val="#000"/>
            <w:sz w:val="18"/>
            <w:u w:val="single"/>
          </w:rPr>
          <w:t xml:space="preserve">https://www.rohan-paul.com/p/keeping-llms-updated-without-full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11"/>
    <w:bookmarkEnd w:id="55"/>
    <w:p>
      <w:pPr>
        <w:numPr>
          <w:ilvl w:val="0"/>
          <w:numId w:val="8"/>
        </w:numPr>
        <w:spacing w:line="360" w:after="210" w:lineRule="auto"/>
      </w:pPr>
      <w:hyperlink r:id="rId16">
        <w:r>
          <w:rPr>
            <w:rFonts w:eastAsia="inter" w:cs="inter" w:ascii="inter" w:hAnsi="inter"/>
            <w:color w:val="#000"/>
            <w:sz w:val="18"/>
            <w:u w:val="single"/>
          </w:rPr>
          <w:t xml:space="preserve">https://dev.to/nareshnishad/day-42-continual-learning-in-llms-1l4g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12"/>
    <w:bookmarkEnd w:id="56"/>
    <w:p>
      <w:pPr>
        <w:numPr>
          <w:ilvl w:val="0"/>
          <w:numId w:val="8"/>
        </w:numPr>
        <w:spacing w:line="360" w:after="210" w:lineRule="auto"/>
      </w:pPr>
      <w:hyperlink r:id="rId17">
        <w:r>
          <w:rPr>
            <w:rFonts w:eastAsia="inter" w:cs="inter" w:ascii="inter" w:hAnsi="inter"/>
            <w:color w:val="#000"/>
            <w:sz w:val="18"/>
            <w:u w:val="single"/>
          </w:rPr>
          <w:t xml:space="preserve">https://www.nature.com/articles/s41586-024-07566-y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13"/>
    <w:bookmarkEnd w:id="57"/>
    <w:p>
      <w:pPr>
        <w:numPr>
          <w:ilvl w:val="0"/>
          <w:numId w:val="8"/>
        </w:numPr>
        <w:spacing w:line="360" w:after="210" w:lineRule="auto"/>
      </w:pPr>
      <w:hyperlink r:id="rId18">
        <w:r>
          <w:rPr>
            <w:rFonts w:eastAsia="inter" w:cs="inter" w:ascii="inter" w:hAnsi="inter"/>
            <w:color w:val="#000"/>
            <w:sz w:val="18"/>
            <w:u w:val="single"/>
          </w:rPr>
          <w:t xml:space="preserve">https://www.ibm.com/think/topics/model-collapse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14"/>
    <w:bookmarkEnd w:id="58"/>
    <w:p>
      <w:pPr>
        <w:numPr>
          <w:ilvl w:val="0"/>
          <w:numId w:val="8"/>
        </w:numPr>
        <w:spacing w:line="360" w:after="210" w:lineRule="auto"/>
      </w:pPr>
      <w:hyperlink r:id="rId19">
        <w:r>
          <w:rPr>
            <w:rFonts w:eastAsia="inter" w:cs="inter" w:ascii="inter" w:hAnsi="inter"/>
            <w:color w:val="#000"/>
            <w:sz w:val="18"/>
            <w:u w:val="single"/>
          </w:rPr>
          <w:t xml:space="preserve">https://idm.net.au/article/0014833-ai-models-risk-collapse-when-trained-ai-generated-data-study-warns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15"/>
    <w:bookmarkEnd w:id="59"/>
    <w:p>
      <w:pPr>
        <w:numPr>
          <w:ilvl w:val="0"/>
          <w:numId w:val="8"/>
        </w:numPr>
        <w:spacing w:line="360" w:after="210" w:lineRule="auto"/>
      </w:pPr>
      <w:hyperlink r:id="rId20">
        <w:r>
          <w:rPr>
            <w:rFonts w:eastAsia="inter" w:cs="inter" w:ascii="inter" w:hAnsi="inter"/>
            <w:color w:val="#000"/>
            <w:sz w:val="18"/>
            <w:u w:val="single"/>
          </w:rPr>
          <w:t xml:space="preserve">https://www.thestack.technology/llm-model-collapse/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16"/>
    <w:bookmarkEnd w:id="60"/>
    <w:p>
      <w:pPr>
        <w:numPr>
          <w:ilvl w:val="0"/>
          <w:numId w:val="8"/>
        </w:numPr>
        <w:spacing w:line="360" w:after="210" w:lineRule="auto"/>
      </w:pPr>
      <w:hyperlink r:id="rId21">
        <w:r>
          <w:rPr>
            <w:rFonts w:eastAsia="inter" w:cs="inter" w:ascii="inter" w:hAnsi="inter"/>
            <w:color w:val="#000"/>
            <w:sz w:val="18"/>
            <w:u w:val="single"/>
          </w:rPr>
          <w:t xml:space="preserve">https://cosmosmagazine.com/technology/ai/training-ai-models-on-machine-generated-data-leads-to-model-collapse/</w:t>
        </w:r>
      </w:hyperlink>
      <w:r>
        <w:rPr>
          <w:rFonts w:eastAsia="inter" w:cs="inter" w:ascii="inter" w:hAnsi="inter"/>
          <w:color w:val="000000"/>
          <w:sz w:val="18"/>
        </w:rPr>
        <w:t xml:space="preserve"> </w:t>
      </w:r>
    </w:p>
    <w:bookmarkStart w:id="61" w:name="fn17"/>
    <w:bookmarkEnd w:id="61"/>
    <w:p>
      <w:pPr>
        <w:numPr>
          <w:ilvl w:val="0"/>
          <w:numId w:val="8"/>
        </w:numPr>
        <w:spacing w:line="360" w:after="210" w:lineRule="auto"/>
      </w:pPr>
      <w:hyperlink r:id="rId22">
        <w:r>
          <w:rPr>
            <w:rFonts w:eastAsia="inter" w:cs="inter" w:ascii="inter" w:hAnsi="inter"/>
            <w:color w:val="#000"/>
            <w:sz w:val="18"/>
            <w:u w:val="single"/>
          </w:rPr>
          <w:t xml:space="preserve">https://www.techtarget.com/whatis/feature/Model-collapse-explained-How-synthetic-training-data-breaks-AI</w:t>
        </w:r>
      </w:hyperlink>
      <w:r>
        <w:rPr>
          <w:rFonts w:eastAsia="inter" w:cs="inter" w:ascii="inter" w:hAnsi="inter"/>
          <w:color w:val="000000"/>
          <w:sz w:val="18"/>
        </w:rPr>
        <w:t xml:space="preserve"> </w:t>
      </w:r>
    </w:p>
    <w:bookmarkStart w:id="62" w:name="fn18"/>
    <w:bookmarkEnd w:id="62"/>
    <w:p>
      <w:pPr>
        <w:numPr>
          <w:ilvl w:val="0"/>
          <w:numId w:val="8"/>
        </w:numPr>
        <w:spacing w:line="360" w:after="210" w:lineRule="auto"/>
      </w:pPr>
      <w:hyperlink r:id="rId23">
        <w:r>
          <w:rPr>
            <w:rFonts w:eastAsia="inter" w:cs="inter" w:ascii="inter" w:hAnsi="inter"/>
            <w:color w:val="#000"/>
            <w:sz w:val="18"/>
            <w:u w:val="single"/>
          </w:rPr>
          <w:t xml:space="preserve">https://ziton.ca/the-growing-threat-of-ai-feedback-loops-a-silent-crisis/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3" w:name="fn19"/>
    <w:bookmarkEnd w:id="63"/>
    <w:p>
      <w:pPr>
        <w:numPr>
          <w:ilvl w:val="0"/>
          <w:numId w:val="8"/>
        </w:numPr>
        <w:spacing w:line="360" w:after="210" w:lineRule="auto"/>
      </w:pPr>
      <w:hyperlink r:id="rId24">
        <w:r>
          <w:rPr>
            <w:rFonts w:eastAsia="inter" w:cs="inter" w:ascii="inter" w:hAnsi="inter"/>
            <w:color w:val="#000"/>
            <w:sz w:val="18"/>
            <w:u w:val="single"/>
          </w:rPr>
          <w:t xml:space="preserve">https://openreview.net/forum?id=mnB4hDTIDr</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4899f66470f8815a491328bef71b089d7e6cd6e.png" TargetMode="Internal"/><Relationship Id="rId6" Type="http://schemas.openxmlformats.org/officeDocument/2006/relationships/hyperlink" Target="https://www.linkedin.com/pulse/ensuring-data-quality-diversity-effective-llm-training-pila--drepc" TargetMode="External"/><Relationship Id="rId7" Type="http://schemas.openxmlformats.org/officeDocument/2006/relationships/hyperlink" Target="https://astconsulting.in/llms/llm-bias-mitigation" TargetMode="External"/><Relationship Id="rId8" Type="http://schemas.openxmlformats.org/officeDocument/2006/relationships/hyperlink" Target="https://www.snowflake.com/en/blog/five-steps-data-diversity-for-smarter-ai-models/" TargetMode="External"/><Relationship Id="rId9" Type="http://schemas.openxmlformats.org/officeDocument/2006/relationships/hyperlink" Target="https://labelyourdata.com/articles/llm-fine-tuning/synthetic-data" TargetMode="External"/><Relationship Id="rId10" Type="http://schemas.openxmlformats.org/officeDocument/2006/relationships/hyperlink" Target="https://www.camel-ai.org/blogs/llm-pretraining" TargetMode="External"/><Relationship Id="rId11" Type="http://schemas.openxmlformats.org/officeDocument/2006/relationships/hyperlink" Target="https://www.confident-ai.com/blog/the-definitive-guide-to-synthetic-data-generation-using-llms" TargetMode="External"/><Relationship Id="rId12" Type="http://schemas.openxmlformats.org/officeDocument/2006/relationships/hyperlink" Target="https://sciencemediacentre.es/en/ai-models-trained-ai-generated-data-can-crash" TargetMode="External"/><Relationship Id="rId13" Type="http://schemas.openxmlformats.org/officeDocument/2006/relationships/hyperlink" Target="https://assets.mofoprod.net/network/documents/Best_Practices_for_Open_Datasets_for_LLM_Training_Draft_-_Dataset_Convening_2024.pdf" TargetMode="External"/><Relationship Id="rId14" Type="http://schemas.openxmlformats.org/officeDocument/2006/relationships/hyperlink" Target="https://arxiv.org/html/2402.01364v1" TargetMode="External"/><Relationship Id="rId15" Type="http://schemas.openxmlformats.org/officeDocument/2006/relationships/hyperlink" Target="https://www.rohan-paul.com/p/keeping-llms-updated-without-full" TargetMode="External"/><Relationship Id="rId16" Type="http://schemas.openxmlformats.org/officeDocument/2006/relationships/hyperlink" Target="https://dev.to/nareshnishad/day-42-continual-learning-in-llms-1l4g" TargetMode="External"/><Relationship Id="rId17" Type="http://schemas.openxmlformats.org/officeDocument/2006/relationships/hyperlink" Target="https://www.nature.com/articles/s41586-024-07566-y" TargetMode="External"/><Relationship Id="rId18" Type="http://schemas.openxmlformats.org/officeDocument/2006/relationships/hyperlink" Target="https://www.ibm.com/think/topics/model-collapse" TargetMode="External"/><Relationship Id="rId19" Type="http://schemas.openxmlformats.org/officeDocument/2006/relationships/hyperlink" Target="https://idm.net.au/article/0014833-ai-models-risk-collapse-when-trained-ai-generated-data-study-warns" TargetMode="External"/><Relationship Id="rId20" Type="http://schemas.openxmlformats.org/officeDocument/2006/relationships/hyperlink" Target="https://www.thestack.technology/llm-model-collapse/" TargetMode="External"/><Relationship Id="rId21" Type="http://schemas.openxmlformats.org/officeDocument/2006/relationships/hyperlink" Target="https://cosmosmagazine.com/technology/ai/training-ai-models-on-machine-generated-data-leads-to-model-collapse/" TargetMode="External"/><Relationship Id="rId22" Type="http://schemas.openxmlformats.org/officeDocument/2006/relationships/hyperlink" Target="https://www.techtarget.com/whatis/feature/Model-collapse-explained-How-synthetic-training-data-breaks-AI" TargetMode="External"/><Relationship Id="rId23" Type="http://schemas.openxmlformats.org/officeDocument/2006/relationships/hyperlink" Target="https://ziton.ca/the-growing-threat-of-ai-feedback-loops-a-silent-crisis/" TargetMode="External"/><Relationship Id="rId24" Type="http://schemas.openxmlformats.org/officeDocument/2006/relationships/hyperlink" Target="https://openreview.net/forum?id=mnB4hDTIDr"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2025-04-28T16:05:13.551Z</dcterms:created>
  <dcterms:modified xsi:type="dcterms:W3CDTF">2025-04-28T16:05:13.551Z</dcterms:modified>
</cp:coreProperties>
</file>