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44ea3f4b1b2621305cbba67f619227a4add0b18a.png"/>
            <a:graphic>
              <a:graphicData uri="http://schemas.openxmlformats.org/drawingml/2006/picture">
                <pic:pic>
                  <pic:nvPicPr>
                    <pic:cNvPr id="1" name="image-44ea3f4b1b2621305cbba67f619227a4add0b18a.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Interplay of Mathematics and Creativity: From Theoretical Foundations to Educational Practices</w:t>
      </w:r>
    </w:p>
    <w:p>
      <w:pPr>
        <w:spacing w:line="360" w:after="210" w:lineRule="auto"/>
      </w:pPr>
      <w:r>
        <w:rPr>
          <w:rFonts w:eastAsia="inter" w:cs="inter" w:ascii="inter" w:hAnsi="inter"/>
          <w:color w:val="000000"/>
        </w:rPr>
        <w:t xml:space="preserve">Recent research reveals that mathematical creativity is not an innate talent but a cultivatable skill shaped by cognitive processes, educational strategies, and social interaction. This synthesis of over a decade of studies demonstrates how creativity in mathematics transcends rote computation, emerging through structured problem-solving, divergent thinking, and the integration of technology.</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Theoretical Frameworks of Mathematical Creativity</w:t>
      </w:r>
    </w:p>
    <w:p>
      <w:pPr>
        <w:spacing w:line="360" w:before="315" w:after="105" w:lineRule="auto"/>
        <w:ind w:left="-30"/>
        <w:jc w:val="left"/>
      </w:pPr>
      <w:r>
        <w:rPr>
          <w:rFonts w:eastAsia="inter" w:cs="inter" w:ascii="inter" w:hAnsi="inter"/>
          <w:b/>
          <w:color w:val="000000"/>
          <w:sz w:val="24"/>
        </w:rPr>
        <w:t xml:space="preserve">The Gestalt Model and Investment Theory</w:t>
      </w:r>
    </w:p>
    <w:p>
      <w:pPr>
        <w:spacing w:line="360" w:after="210" w:lineRule="auto"/>
      </w:pPr>
      <w:r>
        <w:rPr>
          <w:rFonts w:eastAsia="inter" w:cs="inter" w:ascii="inter" w:hAnsi="inter"/>
          <w:color w:val="000000"/>
        </w:rPr>
        <w:t xml:space="preserve">Mathematical creativity follows the four-stage Gestalt model: </w:t>
      </w:r>
      <w:r>
        <w:rPr>
          <w:rFonts w:eastAsia="inter" w:cs="inter" w:ascii="inter" w:hAnsi="inter"/>
          <w:b/>
          <w:color w:val="000000"/>
        </w:rPr>
        <w:t xml:space="preserve">preparation</w:t>
      </w:r>
      <w:r>
        <w:rPr>
          <w:rFonts w:eastAsia="inter" w:cs="inter" w:ascii="inter" w:hAnsi="inter"/>
          <w:color w:val="000000"/>
        </w:rPr>
        <w:t xml:space="preserve"> (gathering knowledge), </w:t>
      </w:r>
      <w:r>
        <w:rPr>
          <w:rFonts w:eastAsia="inter" w:cs="inter" w:ascii="inter" w:hAnsi="inter"/>
          <w:b/>
          <w:color w:val="000000"/>
        </w:rPr>
        <w:t xml:space="preserve">incubation</w:t>
      </w:r>
      <w:r>
        <w:rPr>
          <w:rFonts w:eastAsia="inter" w:cs="inter" w:ascii="inter" w:hAnsi="inter"/>
          <w:color w:val="000000"/>
        </w:rPr>
        <w:t xml:space="preserve"> (subconscious processing), </w:t>
      </w:r>
      <w:r>
        <w:rPr>
          <w:rFonts w:eastAsia="inter" w:cs="inter" w:ascii="inter" w:hAnsi="inter"/>
          <w:b/>
          <w:color w:val="000000"/>
        </w:rPr>
        <w:t xml:space="preserve">illumination</w:t>
      </w:r>
      <w:r>
        <w:rPr>
          <w:rFonts w:eastAsia="inter" w:cs="inter" w:ascii="inter" w:hAnsi="inter"/>
          <w:color w:val="000000"/>
        </w:rPr>
        <w:t xml:space="preserve"> (insight), and </w:t>
      </w:r>
      <w:r>
        <w:rPr>
          <w:rFonts w:eastAsia="inter" w:cs="inter" w:ascii="inter" w:hAnsi="inter"/>
          <w:b/>
          <w:color w:val="000000"/>
        </w:rPr>
        <w:t xml:space="preserve">verification</w:t>
      </w:r>
      <w:r>
        <w:rPr>
          <w:rFonts w:eastAsia="inter" w:cs="inter" w:ascii="inter" w:hAnsi="inter"/>
          <w:color w:val="000000"/>
        </w:rPr>
        <w:t xml:space="preserve"> (refinement)</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For instance, Henri Poincaré’s discovery of Fuchsian functions emerged after periods of incubation during leisurely walks, highlighting the role of subconscious processing</w:t>
      </w:r>
      <w:bookmarkStart w:id="2" w:name="fnref1:1"/>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Complementing this, the </w:t>
      </w:r>
      <w:r>
        <w:rPr>
          <w:rFonts w:eastAsia="inter" w:cs="inter" w:ascii="inter" w:hAnsi="inter"/>
          <w:b/>
          <w:color w:val="000000"/>
        </w:rPr>
        <w:t xml:space="preserve">Investment Theory</w:t>
      </w:r>
      <w:r>
        <w:rPr>
          <w:rFonts w:eastAsia="inter" w:cs="inter" w:ascii="inter" w:hAnsi="inter"/>
          <w:color w:val="000000"/>
        </w:rPr>
        <w:t xml:space="preserve"> posits that creativity arises from six converging elements: intelligence, knowledge, thinking styles, personality, motivation, and environment</w:t>
      </w:r>
      <w:bookmarkStart w:id="3" w:name="fnref1:2"/>
      <w:bookmarkEnd w:id="3"/>
      <w:hyperlink w:anchor="fn1">
        <w:r>
          <w:rPr>
            <w:rFonts w:eastAsia="inter" w:cs="inter" w:ascii="inter" w:hAnsi="inter"/>
            <w:color w:val="#000"/>
            <w:u w:val="single"/>
            <w:vertAlign w:val="superscript"/>
          </w:rPr>
          <w:t xml:space="preserve">[1]</w:t>
        </w:r>
      </w:hyperlink>
      <w:bookmarkStart w:id="4" w:name="fnref3"/>
      <w:bookmarkEnd w:id="4"/>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Studies show that mathematicians often rely on </w:t>
      </w:r>
      <w:r>
        <w:rPr>
          <w:rFonts w:eastAsia="inter" w:cs="inter" w:ascii="inter" w:hAnsi="inter"/>
          <w:b/>
          <w:color w:val="000000"/>
        </w:rPr>
        <w:t xml:space="preserve">social interaction</w:t>
      </w:r>
      <w:r>
        <w:rPr>
          <w:rFonts w:eastAsia="inter" w:cs="inter" w:ascii="inter" w:hAnsi="inter"/>
          <w:color w:val="000000"/>
        </w:rPr>
        <w:t xml:space="preserve"> and </w:t>
      </w:r>
      <w:r>
        <w:rPr>
          <w:rFonts w:eastAsia="inter" w:cs="inter" w:ascii="inter" w:hAnsi="inter"/>
          <w:b/>
          <w:color w:val="000000"/>
        </w:rPr>
        <w:t xml:space="preserve">intuition</w:t>
      </w:r>
      <w:r>
        <w:rPr>
          <w:rFonts w:eastAsia="inter" w:cs="inter" w:ascii="inter" w:hAnsi="inter"/>
          <w:color w:val="000000"/>
        </w:rPr>
        <w:t xml:space="preserve"> to bridge logical gaps, as seen in collaborative proof-writing</w:t>
      </w:r>
      <w:bookmarkStart w:id="5" w:name="fnref1:3"/>
      <w:bookmarkEnd w:id="5"/>
      <w:hyperlink w:anchor="fn1">
        <w:r>
          <w:rPr>
            <w:rFonts w:eastAsia="inter" w:cs="inter" w:ascii="inter" w:hAnsi="inter"/>
            <w:color w:val="#000"/>
            <w:u w:val="single"/>
            <w:vertAlign w:val="superscript"/>
          </w:rPr>
          <w:t xml:space="preserve">[1]</w:t>
        </w:r>
      </w:hyperlink>
      <w:bookmarkStart w:id="6" w:name="fnref4"/>
      <w:bookmarkEnd w:id="6"/>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Mini-c Creativity in Learning</w:t>
      </w:r>
    </w:p>
    <w:p>
      <w:pPr>
        <w:spacing w:line="360" w:after="210" w:lineRule="auto"/>
      </w:pPr>
      <w:r>
        <w:rPr>
          <w:rFonts w:eastAsia="inter" w:cs="inter" w:ascii="inter" w:hAnsi="inter"/>
          <w:color w:val="000000"/>
        </w:rPr>
        <w:t xml:space="preserve">The concept of </w:t>
      </w:r>
      <w:r>
        <w:rPr>
          <w:rFonts w:eastAsia="inter" w:cs="inter" w:ascii="inter" w:hAnsi="inter"/>
          <w:b/>
          <w:color w:val="000000"/>
        </w:rPr>
        <w:t xml:space="preserve">mini-c creativity</w:t>
      </w:r>
      <w:r>
        <w:rPr>
          <w:rFonts w:eastAsia="inter" w:cs="inter" w:ascii="inter" w:hAnsi="inter"/>
          <w:color w:val="000000"/>
        </w:rPr>
        <w:t xml:space="preserve">-personal, subjective insights during learning-has reshaped mathematics education. In a study of 97 sixth graders learning arithmetic mean, mini-c manifested in three ways:</w:t>
      </w:r>
    </w:p>
    <w:p>
      <w:pPr>
        <w:numPr>
          <w:ilvl w:val="0"/>
          <w:numId w:val="1"/>
        </w:numPr>
        <w:spacing w:line="360" w:before="105" w:after="105" w:lineRule="auto"/>
      </w:pPr>
      <w:r>
        <w:rPr>
          <w:rFonts w:eastAsia="inter" w:cs="inter" w:ascii="inter" w:hAnsi="inter"/>
          <w:b/>
          <w:color w:val="000000"/>
          <w:sz w:val="21"/>
        </w:rPr>
        <w:t xml:space="preserve">Building abstract understanding</w:t>
      </w:r>
      <w:r>
        <w:rPr>
          <w:rFonts w:eastAsia="inter" w:cs="inter" w:ascii="inter" w:hAnsi="inter"/>
          <w:color w:val="000000"/>
          <w:sz w:val="21"/>
        </w:rPr>
        <w:t xml:space="preserve"> (e.g., reinterpreting mean as a balance point)</w:t>
      </w:r>
      <w:bookmarkStart w:id="7" w:name="fnref2:1"/>
      <w:bookmarkEnd w:id="7"/>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Connecting representations</w:t>
      </w:r>
      <w:r>
        <w:rPr>
          <w:rFonts w:eastAsia="inter" w:cs="inter" w:ascii="inter" w:hAnsi="inter"/>
          <w:color w:val="000000"/>
          <w:sz w:val="21"/>
        </w:rPr>
        <w:t xml:space="preserve"> (e.g., linking algebraic formulas to geometric models)</w:t>
      </w:r>
      <w:bookmarkStart w:id="8" w:name="fnref5"/>
      <w:bookmarkEnd w:id="8"/>
      <w:hyperlink w:anchor="fn5">
        <w:r>
          <w:rPr>
            <w:rFonts w:eastAsia="inter" w:cs="inter" w:ascii="inter" w:hAnsi="inter"/>
            <w:color w:val="#000"/>
            <w:sz w:val="21"/>
            <w:u w:val="single"/>
            <w:vertAlign w:val="superscript"/>
          </w:rPr>
          <w:t xml:space="preserve">[5]</w:t>
        </w:r>
      </w:hyperlink>
      <w:bookmarkStart w:id="9" w:name="fnref2:2"/>
      <w:bookmarkEnd w:id="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1"/>
        </w:numPr>
        <w:spacing w:line="360" w:before="105" w:after="105" w:lineRule="auto"/>
      </w:pPr>
      <w:r>
        <w:rPr>
          <w:rFonts w:eastAsia="inter" w:cs="inter" w:ascii="inter" w:hAnsi="inter"/>
          <w:b/>
          <w:color w:val="000000"/>
          <w:sz w:val="21"/>
        </w:rPr>
        <w:t xml:space="preserve">Flexible thinking</w:t>
      </w:r>
      <w:r>
        <w:rPr>
          <w:rFonts w:eastAsia="inter" w:cs="inter" w:ascii="inter" w:hAnsi="inter"/>
          <w:color w:val="000000"/>
          <w:sz w:val="21"/>
        </w:rPr>
        <w:t xml:space="preserve"> (e.g., proposing multiple strategies for the same problem)</w:t>
      </w:r>
      <w:bookmarkStart w:id="10" w:name="fnref2:3"/>
      <w:bookmarkEnd w:id="10"/>
      <w:hyperlink w:anchor="fn2">
        <w:r>
          <w:rPr>
            <w:rFonts w:eastAsia="inter" w:cs="inter" w:ascii="inter" w:hAnsi="inter"/>
            <w:color w:val="#000"/>
            <w:sz w:val="21"/>
            <w:u w:val="single"/>
            <w:vertAlign w:val="superscript"/>
          </w:rPr>
          <w:t xml:space="preserve">[2]</w:t>
        </w:r>
      </w:hyperlink>
      <w:bookmarkStart w:id="11" w:name="fnref4:1"/>
      <w:bookmarkEnd w:id="11"/>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Technology-enhanced "Personalized Mathematics and Mathematics Inquiry" (PMMI) environments amplified these outcomes by allowing students to manipulate digital models of weighted averages, fostering deeper conceptual leaps</w:t>
      </w:r>
      <w:bookmarkStart w:id="12" w:name="fnref2:4"/>
      <w:bookmarkEnd w:id="1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Cultivating Creativity: Strategies and Tools</w:t>
      </w:r>
    </w:p>
    <w:p>
      <w:pPr>
        <w:spacing w:line="360" w:before="315" w:after="105" w:lineRule="auto"/>
        <w:ind w:left="-30"/>
        <w:jc w:val="left"/>
      </w:pPr>
      <w:r>
        <w:rPr>
          <w:rFonts w:eastAsia="inter" w:cs="inter" w:ascii="inter" w:hAnsi="inter"/>
          <w:b/>
          <w:color w:val="000000"/>
          <w:sz w:val="24"/>
        </w:rPr>
        <w:t xml:space="preserve">Divergent Tasks and Open-Ended Problems</w:t>
      </w:r>
    </w:p>
    <w:p>
      <w:pPr>
        <w:spacing w:line="360" w:after="210" w:lineRule="auto"/>
      </w:pPr>
      <w:r>
        <w:rPr>
          <w:rFonts w:eastAsia="inter" w:cs="inter" w:ascii="inter" w:hAnsi="inter"/>
          <w:b/>
          <w:color w:val="000000"/>
        </w:rPr>
        <w:t xml:space="preserve">Divergent tasks</w:t>
      </w:r>
      <w:r>
        <w:rPr>
          <w:rFonts w:eastAsia="inter" w:cs="inter" w:ascii="inter" w:hAnsi="inter"/>
          <w:color w:val="000000"/>
        </w:rPr>
        <w:t xml:space="preserve">, which permit multiple solutions, are proven catalysts for creativity. For example:</w:t>
      </w:r>
    </w:p>
    <w:p>
      <w:pPr>
        <w:numPr>
          <w:ilvl w:val="0"/>
          <w:numId w:val="2"/>
        </w:numPr>
        <w:spacing w:line="360" w:before="105" w:after="105" w:lineRule="auto"/>
      </w:pPr>
      <w:r>
        <w:rPr>
          <w:rFonts w:eastAsia="inter" w:cs="inter" w:ascii="inter" w:hAnsi="inter"/>
          <w:b/>
          <w:color w:val="000000"/>
          <w:sz w:val="21"/>
        </w:rPr>
        <w:t xml:space="preserve">Reinterpreting equations</w:t>
      </w:r>
      <w:r>
        <w:rPr>
          <w:rFonts w:eastAsia="inter" w:cs="inter" w:ascii="inter" w:hAnsi="inter"/>
          <w:color w:val="000000"/>
          <w:sz w:val="21"/>
        </w:rPr>
        <w:t xml:space="preserve">: Students exploring $ y = 2x $ discovered its representation as a spiral in polar coordinates, expanding their understanding of functions</w:t>
      </w:r>
      <w:bookmarkStart w:id="13" w:name="fnref6"/>
      <w:bookmarkEnd w:id="13"/>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Geometric ambiguity</w:t>
      </w:r>
      <w:r>
        <w:rPr>
          <w:rFonts w:eastAsia="inter" w:cs="inter" w:ascii="inter" w:hAnsi="inter"/>
          <w:color w:val="000000"/>
          <w:sz w:val="21"/>
        </w:rPr>
        <w:t xml:space="preserve">: Problems like "Divide a square into equal parts" led learners to invent tessellations beyond standard grid partitions</w:t>
      </w:r>
      <w:bookmarkStart w:id="14" w:name="fnref6:1"/>
      <w:bookmarkEnd w:id="14"/>
      <w:hyperlink w:anchor="fn6">
        <w:r>
          <w:rPr>
            <w:rFonts w:eastAsia="inter" w:cs="inter" w:ascii="inter" w:hAnsi="inter"/>
            <w:color w:val="#000"/>
            <w:sz w:val="21"/>
            <w:u w:val="single"/>
            <w:vertAlign w:val="superscript"/>
          </w:rPr>
          <w:t xml:space="preserve">[6]</w:t>
        </w:r>
      </w:hyperlink>
      <w:bookmarkStart w:id="15" w:name="fnref4:2"/>
      <w:bookmarkEnd w:id="1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Such tasks increased </w:t>
      </w:r>
      <w:r>
        <w:rPr>
          <w:rFonts w:eastAsia="inter" w:cs="inter" w:ascii="inter" w:hAnsi="inter"/>
          <w:b/>
          <w:color w:val="000000"/>
          <w:sz w:val="21"/>
        </w:rPr>
        <w:t xml:space="preserve">fluency</w:t>
      </w:r>
      <w:r>
        <w:rPr>
          <w:rFonts w:eastAsia="inter" w:cs="inter" w:ascii="inter" w:hAnsi="inter"/>
          <w:color w:val="000000"/>
          <w:sz w:val="21"/>
        </w:rPr>
        <w:t xml:space="preserve"> (solution quantity) and </w:t>
      </w:r>
      <w:r>
        <w:rPr>
          <w:rFonts w:eastAsia="inter" w:cs="inter" w:ascii="inter" w:hAnsi="inter"/>
          <w:b/>
          <w:color w:val="000000"/>
          <w:sz w:val="21"/>
        </w:rPr>
        <w:t xml:space="preserve">flexibility</w:t>
      </w:r>
      <w:r>
        <w:rPr>
          <w:rFonts w:eastAsia="inter" w:cs="inter" w:ascii="inter" w:hAnsi="inter"/>
          <w:color w:val="000000"/>
          <w:sz w:val="21"/>
        </w:rPr>
        <w:t xml:space="preserve"> (solution diversity) by 40% in experimental groups compared to traditional instruction</w:t>
      </w:r>
      <w:bookmarkStart w:id="16" w:name="fnref6:2"/>
      <w:bookmarkEnd w:id="16"/>
      <w:hyperlink w:anchor="fn6">
        <w:r>
          <w:rPr>
            <w:rFonts w:eastAsia="inter" w:cs="inter" w:ascii="inter" w:hAnsi="inter"/>
            <w:color w:val="#000"/>
            <w:sz w:val="21"/>
            <w:u w:val="single"/>
            <w:vertAlign w:val="superscript"/>
          </w:rPr>
          <w:t xml:space="preserve">[6]</w:t>
        </w:r>
      </w:hyperlink>
      <w:bookmarkStart w:id="17" w:name="fnref7"/>
      <w:bookmarkEnd w:id="17"/>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Polya’s Heuristics and Problem-Solving Cycles</w:t>
      </w:r>
    </w:p>
    <w:p>
      <w:pPr>
        <w:spacing w:line="360" w:after="210" w:lineRule="auto"/>
      </w:pPr>
      <w:r>
        <w:rPr>
          <w:rFonts w:eastAsia="inter" w:cs="inter" w:ascii="inter" w:hAnsi="inter"/>
          <w:color w:val="000000"/>
        </w:rPr>
        <w:t xml:space="preserve">George Pólya’s four-step method-</w:t>
      </w:r>
      <w:r>
        <w:rPr>
          <w:rFonts w:eastAsia="inter" w:cs="inter" w:ascii="inter" w:hAnsi="inter"/>
          <w:b/>
          <w:color w:val="000000"/>
        </w:rPr>
        <w:t xml:space="preserve">understand, plan, execute, review</w:t>
      </w:r>
      <w:r>
        <w:rPr>
          <w:rFonts w:eastAsia="inter" w:cs="inter" w:ascii="inter" w:hAnsi="inter"/>
          <w:color w:val="000000"/>
        </w:rPr>
        <w:t xml:space="preserve">-remains foundational</w:t>
      </w:r>
      <w:bookmarkStart w:id="18" w:name="fnref8"/>
      <w:bookmarkEnd w:id="18"/>
      <w:hyperlink w:anchor="fn8">
        <w:r>
          <w:rPr>
            <w:rFonts w:eastAsia="inter" w:cs="inter" w:ascii="inter" w:hAnsi="inter"/>
            <w:color w:val="#000"/>
            <w:u w:val="single"/>
            <w:vertAlign w:val="superscript"/>
          </w:rPr>
          <w:t xml:space="preserve">[8]</w:t>
        </w:r>
      </w:hyperlink>
      <w:bookmarkStart w:id="19" w:name="fnref9"/>
      <w:bookmarkEnd w:id="19"/>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Modern adaptations integrate technology:</w:t>
      </w:r>
    </w:p>
    <w:p>
      <w:pPr>
        <w:numPr>
          <w:ilvl w:val="0"/>
          <w:numId w:val="3"/>
        </w:numPr>
        <w:spacing w:line="360" w:before="105" w:after="105" w:lineRule="auto"/>
      </w:pPr>
      <w:r>
        <w:rPr>
          <w:rFonts w:eastAsia="inter" w:cs="inter" w:ascii="inter" w:hAnsi="inter"/>
          <w:b/>
          <w:color w:val="000000"/>
          <w:sz w:val="21"/>
        </w:rPr>
        <w:t xml:space="preserve">Understanding via simulations</w:t>
      </w:r>
      <w:r>
        <w:rPr>
          <w:rFonts w:eastAsia="inter" w:cs="inter" w:ascii="inter" w:hAnsi="inter"/>
          <w:color w:val="000000"/>
          <w:sz w:val="21"/>
        </w:rPr>
        <w:t xml:space="preserve">: Dynamic geometry software helps students visualize optimization problems</w:t>
      </w:r>
      <w:bookmarkStart w:id="20" w:name="fnref2:5"/>
      <w:bookmarkEnd w:id="20"/>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Planning with AI</w:t>
      </w:r>
      <w:r>
        <w:rPr>
          <w:rFonts w:eastAsia="inter" w:cs="inter" w:ascii="inter" w:hAnsi="inter"/>
          <w:color w:val="000000"/>
          <w:sz w:val="21"/>
        </w:rPr>
        <w:t xml:space="preserve">: Tools like Wolfram Alpha suggest alternative approaches to algebraic proofs</w:t>
      </w:r>
      <w:bookmarkStart w:id="21" w:name="fnref10"/>
      <w:bookmarkEnd w:id="21"/>
      <w:hyperlink w:anchor="fn10">
        <w:r>
          <w:rPr>
            <w:rFonts w:eastAsia="inter" w:cs="inter" w:ascii="inter" w:hAnsi="inter"/>
            <w:color w:val="#000"/>
            <w:sz w:val="21"/>
            <w:u w:val="single"/>
            <w:vertAlign w:val="superscript"/>
          </w:rPr>
          <w:t xml:space="preserve">[10]</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Review through peer discussion</w:t>
      </w:r>
      <w:r>
        <w:rPr>
          <w:rFonts w:eastAsia="inter" w:cs="inter" w:ascii="inter" w:hAnsi="inter"/>
          <w:color w:val="000000"/>
          <w:sz w:val="21"/>
        </w:rPr>
        <w:t xml:space="preserve">: Collaborative platforms (e.g., Google Classroom) enable real-time feedback on problem-solving journals</w:t>
      </w:r>
      <w:bookmarkStart w:id="22" w:name="fnref11"/>
      <w:bookmarkEnd w:id="22"/>
      <w:hyperlink w:anchor="fn11">
        <w:r>
          <w:rPr>
            <w:rFonts w:eastAsia="inter" w:cs="inter" w:ascii="inter" w:hAnsi="inter"/>
            <w:color w:val="#000"/>
            <w:sz w:val="21"/>
            <w:u w:val="single"/>
            <w:vertAlign w:val="superscript"/>
          </w:rPr>
          <w:t xml:space="preserve">[11]</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In calculus classrooms, students using Pólya’s heuristics with problem-posing tasks improved </w:t>
      </w:r>
      <w:r>
        <w:rPr>
          <w:rFonts w:eastAsia="inter" w:cs="inter" w:ascii="inter" w:hAnsi="inter"/>
          <w:b/>
          <w:color w:val="000000"/>
          <w:sz w:val="21"/>
        </w:rPr>
        <w:t xml:space="preserve">novelty</w:t>
      </w:r>
      <w:r>
        <w:rPr>
          <w:rFonts w:eastAsia="inter" w:cs="inter" w:ascii="inter" w:hAnsi="inter"/>
          <w:color w:val="000000"/>
          <w:sz w:val="21"/>
        </w:rPr>
        <w:t xml:space="preserve"> scores by 30%, devising original integration techniques</w:t>
      </w:r>
      <w:bookmarkStart w:id="23" w:name="fnref7:1"/>
      <w:bookmarkEnd w:id="23"/>
      <w:hyperlink w:anchor="fn7">
        <w:r>
          <w:rPr>
            <w:rFonts w:eastAsia="inter" w:cs="inter" w:ascii="inter" w:hAnsi="inter"/>
            <w:color w:val="#000"/>
            <w:sz w:val="21"/>
            <w:u w:val="single"/>
            <w:vertAlign w:val="superscript"/>
          </w:rPr>
          <w:t xml:space="preserve">[7]</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Cognitive and Environmental Influences</w:t>
      </w:r>
    </w:p>
    <w:p>
      <w:pPr>
        <w:spacing w:line="360" w:before="315" w:after="105" w:lineRule="auto"/>
        <w:ind w:left="-30"/>
        <w:jc w:val="left"/>
      </w:pPr>
      <w:r>
        <w:rPr>
          <w:rFonts w:eastAsia="inter" w:cs="inter" w:ascii="inter" w:hAnsi="inter"/>
          <w:b/>
          <w:color w:val="000000"/>
          <w:sz w:val="24"/>
        </w:rPr>
        <w:t xml:space="preserve">The Role of Intelligence and General Creativity</w:t>
      </w:r>
    </w:p>
    <w:p>
      <w:pPr>
        <w:spacing w:line="360" w:after="210" w:lineRule="auto"/>
      </w:pPr>
      <w:r>
        <w:rPr>
          <w:rFonts w:eastAsia="inter" w:cs="inter" w:ascii="inter" w:hAnsi="inter"/>
          <w:color w:val="000000"/>
        </w:rPr>
        <w:t xml:space="preserve">While </w:t>
      </w:r>
      <w:r>
        <w:rPr>
          <w:rFonts w:eastAsia="inter" w:cs="inter" w:ascii="inter" w:hAnsi="inter"/>
          <w:b/>
          <w:color w:val="000000"/>
        </w:rPr>
        <w:t xml:space="preserve">numerical intelligence</w:t>
      </w:r>
      <w:r>
        <w:rPr>
          <w:rFonts w:eastAsia="inter" w:cs="inter" w:ascii="inter" w:hAnsi="inter"/>
          <w:color w:val="000000"/>
        </w:rPr>
        <w:t xml:space="preserve"> correlates with mathematical creativity ($ r = 0.53 $), </w:t>
      </w:r>
      <w:r>
        <w:rPr>
          <w:rFonts w:eastAsia="inter" w:cs="inter" w:ascii="inter" w:hAnsi="inter"/>
          <w:b/>
          <w:color w:val="000000"/>
        </w:rPr>
        <w:t xml:space="preserve">general creativity</w:t>
      </w:r>
      <w:r>
        <w:rPr>
          <w:rFonts w:eastAsia="inter" w:cs="inter" w:ascii="inter" w:hAnsi="inter"/>
          <w:color w:val="000000"/>
        </w:rPr>
        <w:t xml:space="preserve"> independently predicts 15% of variance in creative output</w:t>
      </w:r>
      <w:bookmarkStart w:id="24" w:name="fnref3:1"/>
      <w:bookmarkEnd w:id="24"/>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suggests that cross-disciplinary experiences (e.g., art or music) enhance mathematical ideation. For example, students who engaged in musical rhythm analysis outperformed peers in pattern-recognition tasks by 22%</w:t>
      </w:r>
      <w:bookmarkStart w:id="25" w:name="fnref3:2"/>
      <w:bookmarkEnd w:id="25"/>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Social Dynamics and Technology</w:t>
      </w:r>
    </w:p>
    <w:p>
      <w:pPr>
        <w:spacing w:line="360" w:after="210" w:lineRule="auto"/>
      </w:pPr>
      <w:r>
        <w:rPr>
          <w:rFonts w:eastAsia="inter" w:cs="inter" w:ascii="inter" w:hAnsi="inter"/>
          <w:color w:val="000000"/>
        </w:rPr>
        <w:t xml:space="preserve">Collaborative environments reduce </w:t>
      </w:r>
      <w:r>
        <w:rPr>
          <w:rFonts w:eastAsia="inter" w:cs="inter" w:ascii="inter" w:hAnsi="inter"/>
          <w:b/>
          <w:color w:val="000000"/>
        </w:rPr>
        <w:t xml:space="preserve">evaluation apprehension</w:t>
      </w:r>
      <w:r>
        <w:rPr>
          <w:rFonts w:eastAsia="inter" w:cs="inter" w:ascii="inter" w:hAnsi="inter"/>
          <w:color w:val="000000"/>
        </w:rPr>
        <w:t xml:space="preserve">, a key barrier to creativity. In a Reddit-based study, mathematicians solving problems in public forums produced 50% more "maverick hypotheses" than those working alone</w:t>
      </w:r>
      <w:bookmarkStart w:id="26" w:name="fnref12"/>
      <w:bookmarkEnd w:id="26"/>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Similarly, AI tools like </w:t>
      </w:r>
      <w:r>
        <w:rPr>
          <w:rFonts w:eastAsia="inter" w:cs="inter" w:ascii="inter" w:hAnsi="inter"/>
          <w:b/>
          <w:color w:val="000000"/>
        </w:rPr>
        <w:t xml:space="preserve">GeoGebra</w:t>
      </w:r>
      <w:r>
        <w:rPr>
          <w:rFonts w:eastAsia="inter" w:cs="inter" w:ascii="inter" w:hAnsi="inter"/>
          <w:color w:val="000000"/>
        </w:rPr>
        <w:t xml:space="preserve"> and </w:t>
      </w:r>
      <w:r>
        <w:rPr>
          <w:rFonts w:eastAsia="inter" w:cs="inter" w:ascii="inter" w:hAnsi="inter"/>
          <w:b/>
          <w:color w:val="000000"/>
        </w:rPr>
        <w:t xml:space="preserve">Desmos</w:t>
      </w:r>
      <w:r>
        <w:rPr>
          <w:rFonts w:eastAsia="inter" w:cs="inter" w:ascii="inter" w:hAnsi="inter"/>
          <w:color w:val="000000"/>
        </w:rPr>
        <w:t xml:space="preserve"> transform passive learning into active exploration, enabling students to test conjectures instantly</w:t>
      </w:r>
      <w:bookmarkStart w:id="27" w:name="fnref2:6"/>
      <w:bookmarkEnd w:id="27"/>
      <w:hyperlink w:anchor="fn2">
        <w:r>
          <w:rPr>
            <w:rFonts w:eastAsia="inter" w:cs="inter" w:ascii="inter" w:hAnsi="inter"/>
            <w:color w:val="#000"/>
            <w:u w:val="single"/>
            <w:vertAlign w:val="superscript"/>
          </w:rPr>
          <w:t xml:space="preserve">[2]</w:t>
        </w:r>
      </w:hyperlink>
      <w:bookmarkStart w:id="28" w:name="fnref7:2"/>
      <w:bookmarkEnd w:id="28"/>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Challenges and Future Directions</w:t>
      </w:r>
    </w:p>
    <w:p>
      <w:pPr>
        <w:spacing w:line="360" w:before="315" w:after="105" w:lineRule="auto"/>
        <w:ind w:left="-30"/>
        <w:jc w:val="left"/>
      </w:pPr>
      <w:r>
        <w:rPr>
          <w:rFonts w:eastAsia="inter" w:cs="inter" w:ascii="inter" w:hAnsi="inter"/>
          <w:b/>
          <w:color w:val="000000"/>
          <w:sz w:val="24"/>
        </w:rPr>
        <w:t xml:space="preserve">Overcoming Cognitive Biases</w:t>
      </w:r>
    </w:p>
    <w:p>
      <w:pPr>
        <w:spacing w:line="360" w:after="210" w:lineRule="auto"/>
      </w:pPr>
      <w:r>
        <w:rPr>
          <w:rFonts w:eastAsia="inter" w:cs="inter" w:ascii="inter" w:hAnsi="inter"/>
          <w:b/>
          <w:color w:val="000000"/>
        </w:rPr>
        <w:t xml:space="preserve">Anthropomorphism</w:t>
      </w:r>
      <w:r>
        <w:rPr>
          <w:rFonts w:eastAsia="inter" w:cs="inter" w:ascii="inter" w:hAnsi="inter"/>
          <w:color w:val="000000"/>
        </w:rPr>
        <w:t xml:space="preserve"> of AI tutors can hinder creativity; learners distrust human-like agents’ suggestions, preferring neutral interfaces</w:t>
      </w:r>
      <w:bookmarkStart w:id="29" w:name="fnref11:1"/>
      <w:bookmarkEnd w:id="29"/>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Additionally, </w:t>
      </w:r>
      <w:r>
        <w:rPr>
          <w:rFonts w:eastAsia="inter" w:cs="inter" w:ascii="inter" w:hAnsi="inter"/>
          <w:b/>
          <w:color w:val="000000"/>
        </w:rPr>
        <w:t xml:space="preserve">overreliance on algorithms</w:t>
      </w:r>
      <w:r>
        <w:rPr>
          <w:rFonts w:eastAsia="inter" w:cs="inter" w:ascii="inter" w:hAnsi="inter"/>
          <w:color w:val="000000"/>
        </w:rPr>
        <w:t xml:space="preserve"> may stunt </w:t>
      </w:r>
      <w:r>
        <w:rPr>
          <w:rFonts w:eastAsia="inter" w:cs="inter" w:ascii="inter" w:hAnsi="inter"/>
          <w:b/>
          <w:color w:val="000000"/>
        </w:rPr>
        <w:t xml:space="preserve">originality</w:t>
      </w:r>
      <w:r>
        <w:rPr>
          <w:rFonts w:eastAsia="inter" w:cs="inter" w:ascii="inter" w:hAnsi="inter"/>
          <w:color w:val="000000"/>
        </w:rPr>
        <w:t xml:space="preserve">, as seen in students who default to LLM-generated proofs without critical analysis</w:t>
      </w:r>
      <w:bookmarkStart w:id="30" w:name="fnref7:3"/>
      <w:bookmarkEnd w:id="30"/>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Measuring Creativity Quantitatively</w:t>
      </w:r>
    </w:p>
    <w:p>
      <w:pPr>
        <w:spacing w:line="360" w:after="210" w:lineRule="auto"/>
      </w:pPr>
      <w:r>
        <w:rPr>
          <w:rFonts w:eastAsia="inter" w:cs="inter" w:ascii="inter" w:hAnsi="inter"/>
          <w:color w:val="000000"/>
        </w:rPr>
        <w:t xml:space="preserve">Emerging metrics include:</w:t>
      </w:r>
    </w:p>
    <w:p>
      <w:pPr>
        <w:numPr>
          <w:ilvl w:val="0"/>
          <w:numId w:val="4"/>
        </w:numPr>
        <w:spacing w:line="360" w:before="105" w:after="105" w:lineRule="auto"/>
      </w:pPr>
      <w:r>
        <w:rPr>
          <w:rFonts w:eastAsia="inter" w:cs="inter" w:ascii="inter" w:hAnsi="inter"/>
          <w:b/>
          <w:color w:val="000000"/>
          <w:sz w:val="21"/>
        </w:rPr>
        <w:t xml:space="preserve">Fluency</w:t>
      </w:r>
      <w:r>
        <w:rPr>
          <w:rFonts w:eastAsia="inter" w:cs="inter" w:ascii="inter" w:hAnsi="inter"/>
          <w:color w:val="000000"/>
          <w:sz w:val="21"/>
        </w:rPr>
        <w:t xml:space="preserve">: Solutions per minute in divergent tasks</w:t>
      </w:r>
      <w:bookmarkStart w:id="31" w:name="fnref6:3"/>
      <w:bookmarkEnd w:id="3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Flexibility</w:t>
      </w:r>
      <w:r>
        <w:rPr>
          <w:rFonts w:eastAsia="inter" w:cs="inter" w:ascii="inter" w:hAnsi="inter"/>
          <w:color w:val="000000"/>
          <w:sz w:val="21"/>
        </w:rPr>
        <w:t xml:space="preserve">: Unique solution categories (e.g., algebraic vs. geometric)</w:t>
      </w:r>
      <w:bookmarkStart w:id="32" w:name="fnref4:3"/>
      <w:bookmarkEnd w:id="32"/>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Originality</w:t>
      </w:r>
      <w:r>
        <w:rPr>
          <w:rFonts w:eastAsia="inter" w:cs="inter" w:ascii="inter" w:hAnsi="inter"/>
          <w:color w:val="000000"/>
          <w:sz w:val="21"/>
        </w:rPr>
        <w:t xml:space="preserve">: Statistical rarity of approaches compared to a reference group</w:t>
      </w:r>
      <w:bookmarkStart w:id="33" w:name="fnref3:3"/>
      <w:bookmarkEnd w:id="33"/>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r>
        <w:rPr>
          <w:rFonts w:eastAsia="inter" w:cs="inter" w:ascii="inter" w:hAnsi="inter"/>
          <w:color w:val="000000"/>
          <w:sz w:val="21"/>
        </w:rPr>
        <w:br w:type="textWrapping"/>
      </w:r>
      <w:r>
        <w:rPr>
          <w:rFonts w:eastAsia="inter" w:cs="inter" w:ascii="inter" w:hAnsi="inter"/>
          <w:color w:val="000000"/>
          <w:sz w:val="21"/>
        </w:rPr>
        <w:t xml:space="preserve">However, these metrics struggle to capture </w:t>
      </w:r>
      <w:r>
        <w:rPr>
          <w:rFonts w:eastAsia="inter" w:cs="inter" w:ascii="inter" w:hAnsi="inter"/>
          <w:b/>
          <w:color w:val="000000"/>
          <w:sz w:val="21"/>
        </w:rPr>
        <w:t xml:space="preserve">insight quality</w:t>
      </w:r>
      <w:r>
        <w:rPr>
          <w:rFonts w:eastAsia="inter" w:cs="inter" w:ascii="inter" w:hAnsi="inter"/>
          <w:color w:val="000000"/>
          <w:sz w:val="21"/>
        </w:rPr>
        <w:t xml:space="preserve">, prompting calls for hybrid assessments combining peer review and AI sentiment analysis</w:t>
      </w:r>
      <w:bookmarkStart w:id="34" w:name="fnref2:7"/>
      <w:bookmarkEnd w:id="34"/>
      <w:hyperlink w:anchor="fn2">
        <w:r>
          <w:rPr>
            <w:rFonts w:eastAsia="inter" w:cs="inter" w:ascii="inter" w:hAnsi="inter"/>
            <w:color w:val="#000"/>
            <w:sz w:val="21"/>
            <w:u w:val="single"/>
            <w:vertAlign w:val="superscript"/>
          </w:rPr>
          <w:t xml:space="preserve">[2]</w:t>
        </w:r>
      </w:hyperlink>
      <w:bookmarkStart w:id="35" w:name="fnref3:4"/>
      <w:bookmarkEnd w:id="35"/>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Mathematical creativity thrives at the intersection of structured heuristics, cognitive flexibility, and collaborative innovation. By embedding divergent tasks, leveraging technology, and fostering mini-c moments, educators can transform mathematics from a rigid discipline into a dynamic field of exploration. Future research must address measurement limitations and ethical AI integration to ensure that creativity enhancement aligns with critical thinking development. As Pólya envisioned, the goal is not merely to solve problems but to cultivate a mindset where every challenge sparks inventive curiosity</w:t>
      </w:r>
      <w:bookmarkStart w:id="36" w:name="fnref8:1"/>
      <w:bookmarkEnd w:id="36"/>
      <w:hyperlink w:anchor="fn8">
        <w:r>
          <w:rPr>
            <w:rFonts w:eastAsia="inter" w:cs="inter" w:ascii="inter" w:hAnsi="inter"/>
            <w:color w:val="#000"/>
            <w:u w:val="single"/>
            <w:vertAlign w:val="superscript"/>
          </w:rPr>
          <w:t xml:space="preserve">[8]</w:t>
        </w:r>
      </w:hyperlink>
      <w:bookmarkStart w:id="37" w:name="fnref9:1"/>
      <w:bookmarkEnd w:id="37"/>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8" w:name="fn1"/>
    <w:bookmarkEnd w:id="38"/>
    <w:p>
      <w:pPr>
        <w:numPr>
          <w:ilvl w:val="0"/>
          <w:numId w:val="6"/>
        </w:numPr>
        <w:spacing w:line="360" w:after="210" w:lineRule="auto"/>
      </w:pPr>
      <w:hyperlink r:id="rId6">
        <w:r>
          <w:rPr>
            <w:rFonts w:eastAsia="inter" w:cs="inter" w:ascii="inter" w:hAnsi="inter"/>
            <w:color w:val="#000"/>
            <w:sz w:val="18"/>
            <w:u w:val="single"/>
          </w:rPr>
          <w:t xml:space="preserve">https://files.eric.ed.gov/fulltext/EJ848493.pdf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9" w:name="fn2"/>
    <w:bookmarkEnd w:id="39"/>
    <w:p>
      <w:pPr>
        <w:numPr>
          <w:ilvl w:val="0"/>
          <w:numId w:val="6"/>
        </w:numPr>
        <w:spacing w:line="360" w:after="210" w:lineRule="auto"/>
      </w:pPr>
      <w:hyperlink r:id="rId7">
        <w:r>
          <w:rPr>
            <w:rFonts w:eastAsia="inter" w:cs="inter" w:ascii="inter" w:hAnsi="inter"/>
            <w:color w:val="#000"/>
            <w:sz w:val="18"/>
            <w:u w:val="single"/>
          </w:rPr>
          <w:t xml:space="preserve">https://eric.ed.gov/?id=EJ1331931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0" w:name="fn3"/>
    <w:bookmarkEnd w:id="40"/>
    <w:p>
      <w:pPr>
        <w:numPr>
          <w:ilvl w:val="0"/>
          <w:numId w:val="6"/>
        </w:numPr>
        <w:spacing w:line="360" w:after="210" w:lineRule="auto"/>
      </w:pPr>
      <w:hyperlink r:id="rId8">
        <w:r>
          <w:rPr>
            <w:rFonts w:eastAsia="inter" w:cs="inter" w:ascii="inter" w:hAnsi="inter"/>
            <w:color w:val="#000"/>
            <w:sz w:val="18"/>
            <w:u w:val="single"/>
          </w:rPr>
          <w:t xml:space="preserve">https://pmc.ncbi.nlm.nih.gov/articles/PMC8006241/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4"/>
    <w:bookmarkEnd w:id="41"/>
    <w:p>
      <w:pPr>
        <w:numPr>
          <w:ilvl w:val="0"/>
          <w:numId w:val="6"/>
        </w:numPr>
        <w:spacing w:line="360" w:after="210" w:lineRule="auto"/>
      </w:pPr>
      <w:hyperlink r:id="rId9">
        <w:r>
          <w:rPr>
            <w:rFonts w:eastAsia="inter" w:cs="inter" w:ascii="inter" w:hAnsi="inter"/>
            <w:color w:val="#000"/>
            <w:sz w:val="18"/>
            <w:u w:val="single"/>
          </w:rPr>
          <w:t xml:space="preserve">https://sciendo.com/pdf/10.2478/ctra-2023-0002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5"/>
    <w:bookmarkEnd w:id="42"/>
    <w:p>
      <w:pPr>
        <w:numPr>
          <w:ilvl w:val="0"/>
          <w:numId w:val="6"/>
        </w:numPr>
        <w:spacing w:line="360" w:after="210" w:lineRule="auto"/>
      </w:pPr>
      <w:hyperlink r:id="rId10">
        <w:r>
          <w:rPr>
            <w:rFonts w:eastAsia="inter" w:cs="inter" w:ascii="inter" w:hAnsi="inter"/>
            <w:color w:val="#000"/>
            <w:sz w:val="18"/>
            <w:u w:val="single"/>
          </w:rPr>
          <w:t xml:space="preserve">https://site.unibo.it/rsddm-dm/it/rivista/m-d_32-1-_2024_articolo-4_gelmi-garzetti-asenova.pdf/@@download/file/M&amp;D_32(1)_2024_Articolo 4_Gelmi, Garzetti &amp; Asenova.pdf</w:t>
        </w:r>
      </w:hyperlink>
      <w:r>
        <w:rPr>
          <w:rFonts w:eastAsia="inter" w:cs="inter" w:ascii="inter" w:hAnsi="inter"/>
          <w:color w:val="000000"/>
          <w:sz w:val="18"/>
        </w:rPr>
        <w:t xml:space="preserve"> </w:t>
      </w:r>
    </w:p>
    <w:bookmarkStart w:id="43" w:name="fn6"/>
    <w:bookmarkEnd w:id="43"/>
    <w:p>
      <w:pPr>
        <w:numPr>
          <w:ilvl w:val="0"/>
          <w:numId w:val="6"/>
        </w:numPr>
        <w:spacing w:line="360" w:after="210" w:lineRule="auto"/>
      </w:pPr>
      <w:hyperlink r:id="rId11">
        <w:r>
          <w:rPr>
            <w:rFonts w:eastAsia="inter" w:cs="inter" w:ascii="inter" w:hAnsi="inter"/>
            <w:color w:val="#000"/>
            <w:sz w:val="18"/>
            <w:u w:val="single"/>
          </w:rPr>
          <w:t xml:space="preserve">https://journals.sdu.edu.kz/index.php/iysw/article/view/409/171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7"/>
    <w:bookmarkEnd w:id="44"/>
    <w:p>
      <w:pPr>
        <w:numPr>
          <w:ilvl w:val="0"/>
          <w:numId w:val="6"/>
        </w:numPr>
        <w:spacing w:line="360" w:after="210" w:lineRule="auto"/>
      </w:pPr>
      <w:hyperlink r:id="rId12">
        <w:r>
          <w:rPr>
            <w:rFonts w:eastAsia="inter" w:cs="inter" w:ascii="inter" w:hAnsi="inter"/>
            <w:color w:val="#000"/>
            <w:sz w:val="18"/>
            <w:u w:val="single"/>
          </w:rPr>
          <w:t xml:space="preserve">https://journals.library.ualberta.ca/cjfy/index.php/cjfy/article/download/29672/21630/78312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5" w:name="fn8"/>
    <w:bookmarkEnd w:id="45"/>
    <w:p>
      <w:pPr>
        <w:numPr>
          <w:ilvl w:val="0"/>
          <w:numId w:val="6"/>
        </w:numPr>
        <w:spacing w:line="360" w:after="210" w:lineRule="auto"/>
      </w:pPr>
      <w:hyperlink r:id="rId13">
        <w:r>
          <w:rPr>
            <w:rFonts w:eastAsia="inter" w:cs="inter" w:ascii="inter" w:hAnsi="inter"/>
            <w:color w:val="#000"/>
            <w:sz w:val="18"/>
            <w:u w:val="single"/>
          </w:rPr>
          <w:t xml:space="preserve">https://nightingaledvs.com/how-to-solve-it-and-by-it-i-mean-anything/</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9"/>
    <w:bookmarkEnd w:id="46"/>
    <w:p>
      <w:pPr>
        <w:numPr>
          <w:ilvl w:val="0"/>
          <w:numId w:val="6"/>
        </w:numPr>
        <w:spacing w:line="360" w:after="210" w:lineRule="auto"/>
      </w:pPr>
      <w:hyperlink r:id="rId14">
        <w:r>
          <w:rPr>
            <w:rFonts w:eastAsia="inter" w:cs="inter" w:ascii="inter" w:hAnsi="inter"/>
            <w:color w:val="#000"/>
            <w:sz w:val="18"/>
            <w:u w:val="single"/>
          </w:rPr>
          <w:t xml:space="preserve">https://en.wikipedia.org/wiki/How_to_Solve_It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7" w:name="fn10"/>
    <w:bookmarkEnd w:id="47"/>
    <w:p>
      <w:pPr>
        <w:numPr>
          <w:ilvl w:val="0"/>
          <w:numId w:val="6"/>
        </w:numPr>
        <w:spacing w:line="360" w:after="210" w:lineRule="auto"/>
      </w:pPr>
      <w:hyperlink r:id="rId15">
        <w:r>
          <w:rPr>
            <w:rFonts w:eastAsia="inter" w:cs="inter" w:ascii="inter" w:hAnsi="inter"/>
            <w:color w:val="#000"/>
            <w:sz w:val="18"/>
            <w:u w:val="single"/>
          </w:rPr>
          <w:t xml:space="preserve">https://scholarship.claremont.edu/jhm/vol11/iss2/22/</w:t>
        </w:r>
      </w:hyperlink>
      <w:r>
        <w:rPr>
          <w:rFonts w:eastAsia="inter" w:cs="inter" w:ascii="inter" w:hAnsi="inter"/>
          <w:color w:val="000000"/>
          <w:sz w:val="18"/>
        </w:rPr>
        <w:t xml:space="preserve"> </w:t>
      </w:r>
    </w:p>
    <w:bookmarkStart w:id="48" w:name="fn11"/>
    <w:bookmarkEnd w:id="48"/>
    <w:p>
      <w:pPr>
        <w:numPr>
          <w:ilvl w:val="0"/>
          <w:numId w:val="6"/>
        </w:numPr>
        <w:spacing w:line="360" w:after="210" w:lineRule="auto"/>
      </w:pPr>
      <w:hyperlink r:id="rId16">
        <w:r>
          <w:rPr>
            <w:rFonts w:eastAsia="inter" w:cs="inter" w:ascii="inter" w:hAnsi="inter"/>
            <w:color w:val="#000"/>
            <w:sz w:val="18"/>
            <w:u w:val="single"/>
          </w:rPr>
          <w:t xml:space="preserve">https://files.eric.ed.gov/fulltext/EJ1312521.pdf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12"/>
    <w:bookmarkEnd w:id="49"/>
    <w:p>
      <w:pPr>
        <w:numPr>
          <w:ilvl w:val="0"/>
          <w:numId w:val="6"/>
        </w:numPr>
        <w:spacing w:line="360" w:after="210" w:lineRule="auto"/>
      </w:pPr>
      <w:hyperlink r:id="rId17">
        <w:r>
          <w:rPr>
            <w:rFonts w:eastAsia="inter" w:cs="inter" w:ascii="inter" w:hAnsi="inter"/>
            <w:color w:val="#000"/>
            <w:sz w:val="18"/>
            <w:u w:val="single"/>
          </w:rPr>
          <w:t xml:space="preserve">https://www.reddit.com/r/math/comments/1aitenx/how_to_learn_mathematical_creativity/</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decimal"/>
      <w:lvlText w:val="%1."/>
      <w:lvlJc w:val="left"/>
      <w:pPr>
        <w:tabs>
          <w:tab w:val="num" w:pos="900"/>
        </w:tabs>
        <w:ind w:left="540" w:hanging="360"/>
      </w:p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abstractNum>
  <w:abstractNum w:abstractNumId="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44ea3f4b1b2621305cbba67f619227a4add0b18a.png" TargetMode="Internal"/><Relationship Id="rId6" Type="http://schemas.openxmlformats.org/officeDocument/2006/relationships/hyperlink" Target="https://files.eric.ed.gov/fulltext/EJ848493.pdf" TargetMode="External"/><Relationship Id="rId7" Type="http://schemas.openxmlformats.org/officeDocument/2006/relationships/hyperlink" Target="https://eric.ed.gov/?id=EJ1331931" TargetMode="External"/><Relationship Id="rId8" Type="http://schemas.openxmlformats.org/officeDocument/2006/relationships/hyperlink" Target="https://pmc.ncbi.nlm.nih.gov/articles/PMC8006241/" TargetMode="External"/><Relationship Id="rId9" Type="http://schemas.openxmlformats.org/officeDocument/2006/relationships/hyperlink" Target="https://sciendo.com/pdf/10.2478/ctra-2023-0002" TargetMode="External"/><Relationship Id="rId10" Type="http://schemas.openxmlformats.org/officeDocument/2006/relationships/hyperlink" Target="https://site.unibo.it/rsddm-dm/it/rivista/m-d_32-1-_2024_articolo-4_gelmi-garzetti-asenova.pdf/@@download/file/M&amp;D_32(1)_2024_Articolo%204_Gelmi,%20Garzetti%20&amp;%20Asenova.pdf" TargetMode="External"/><Relationship Id="rId11" Type="http://schemas.openxmlformats.org/officeDocument/2006/relationships/hyperlink" Target="https://journals.sdu.edu.kz/index.php/iysw/article/view/409/171" TargetMode="External"/><Relationship Id="rId12" Type="http://schemas.openxmlformats.org/officeDocument/2006/relationships/hyperlink" Target="https://journals.library.ualberta.ca/cjfy/index.php/cjfy/article/download/29672/21630/78312" TargetMode="External"/><Relationship Id="rId13" Type="http://schemas.openxmlformats.org/officeDocument/2006/relationships/hyperlink" Target="https://nightingaledvs.com/how-to-solve-it-and-by-it-i-mean-anything/" TargetMode="External"/><Relationship Id="rId14" Type="http://schemas.openxmlformats.org/officeDocument/2006/relationships/hyperlink" Target="https://en.wikipedia.org/wiki/How_to_Solve_It" TargetMode="External"/><Relationship Id="rId15" Type="http://schemas.openxmlformats.org/officeDocument/2006/relationships/hyperlink" Target="https://scholarship.claremont.edu/jhm/vol11/iss2/22/" TargetMode="External"/><Relationship Id="rId16" Type="http://schemas.openxmlformats.org/officeDocument/2006/relationships/hyperlink" Target="https://files.eric.ed.gov/fulltext/EJ1312521.pdf" TargetMode="External"/><Relationship Id="rId17" Type="http://schemas.openxmlformats.org/officeDocument/2006/relationships/hyperlink" Target="https://www.reddit.com/r/math/comments/1aitenx/how_to_learn_mathematical_creativity/"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2025-04-28T16:05:16.370Z</dcterms:created>
  <dcterms:modified xsi:type="dcterms:W3CDTF">2025-04-28T16:05:16.370Z</dcterms:modified>
</cp:coreProperties>
</file>