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7cf0b40e6c66f0cbd711c5de4269149f28a7c1cb.png"/>
            <a:graphic>
              <a:graphicData uri="http://schemas.openxmlformats.org/drawingml/2006/picture">
                <pic:pic>
                  <pic:nvPicPr>
                    <pic:cNvPr id="1" name="image-7cf0b40e6c66f0cbd711c5de4269149f28a7c1cb.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The Single LLM vs. Biased Debate Paradigm: A Structured Analysis</w:t>
      </w:r>
    </w:p>
    <w:p>
      <w:pPr>
        <w:spacing w:line="360" w:after="210" w:lineRule="auto"/>
      </w:pPr>
      <w:r>
        <w:rPr>
          <w:rFonts w:eastAsia="inter" w:cs="inter" w:ascii="inter" w:hAnsi="inter"/>
          <w:color w:val="000000"/>
        </w:rPr>
        <w:t xml:space="preserve">The choice between a single non-biased LLM and two biased LLMs engaging in debate involves complex trade-offs in accuracy, fairness, and computational efficiency. This analysis synthesizes findings from 16 research papers to evaluate both approaches.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Case for a Single Non-Biased LLM</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Theoretical Advantages</w:t>
      </w:r>
    </w:p>
    <w:p>
      <w:pPr>
        <w:numPr>
          <w:ilvl w:val="0"/>
          <w:numId w:val="1"/>
        </w:numPr>
        <w:spacing w:line="360" w:before="105" w:after="105" w:lineRule="auto"/>
      </w:pPr>
      <w:r>
        <w:rPr>
          <w:rFonts w:eastAsia="inter" w:cs="inter" w:ascii="inter" w:hAnsi="inter"/>
          <w:b/>
          <w:color w:val="000000"/>
          <w:sz w:val="21"/>
        </w:rPr>
        <w:t xml:space="preserve">Consistency</w:t>
      </w:r>
      <w:r>
        <w:rPr>
          <w:rFonts w:eastAsia="inter" w:cs="inter" w:ascii="inter" w:hAnsi="inter"/>
          <w:color w:val="000000"/>
          <w:sz w:val="21"/>
        </w:rPr>
        <w:t xml:space="preserve">: A perfectly non-biased LLM provides uniform responses unaffected by conflicting internal agendas.</w:t>
      </w:r>
    </w:p>
    <w:p>
      <w:pPr>
        <w:numPr>
          <w:ilvl w:val="0"/>
          <w:numId w:val="1"/>
        </w:numPr>
        <w:spacing w:line="360" w:before="105" w:after="105" w:lineRule="auto"/>
      </w:pPr>
      <w:r>
        <w:rPr>
          <w:rFonts w:eastAsia="inter" w:cs="inter" w:ascii="inter" w:hAnsi="inter"/>
          <w:b/>
          <w:color w:val="000000"/>
          <w:sz w:val="21"/>
        </w:rPr>
        <w:t xml:space="preserve">Efficiency</w:t>
      </w:r>
      <w:r>
        <w:rPr>
          <w:rFonts w:eastAsia="inter" w:cs="inter" w:ascii="inter" w:hAnsi="inter"/>
          <w:color w:val="000000"/>
          <w:sz w:val="21"/>
        </w:rPr>
        <w:t xml:space="preserve">: Eliminates computational overhead from multi-agent coordination (AutoGen framework shows 40% latency reduction in single-model systems).</w:t>
      </w:r>
    </w:p>
    <w:p>
      <w:pPr>
        <w:numPr>
          <w:ilvl w:val="0"/>
          <w:numId w:val="1"/>
        </w:numPr>
        <w:spacing w:line="360" w:before="105" w:after="105" w:lineRule="auto"/>
      </w:pPr>
      <w:r>
        <w:rPr>
          <w:rFonts w:eastAsia="inter" w:cs="inter" w:ascii="inter" w:hAnsi="inter"/>
          <w:b/>
          <w:color w:val="000000"/>
          <w:sz w:val="21"/>
        </w:rPr>
        <w:t xml:space="preserve">Accountability</w:t>
      </w:r>
      <w:r>
        <w:rPr>
          <w:rFonts w:eastAsia="inter" w:cs="inter" w:ascii="inter" w:hAnsi="inter"/>
          <w:color w:val="000000"/>
          <w:sz w:val="21"/>
        </w:rPr>
        <w:t xml:space="preserve">: Simplified audit trails compared to entangled debate outputs.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Practical Limitations</w:t>
      </w:r>
    </w:p>
    <w:p>
      <w:pPr>
        <w:numPr>
          <w:ilvl w:val="0"/>
          <w:numId w:val="2"/>
        </w:numPr>
        <w:spacing w:line="360" w:before="105" w:after="105" w:lineRule="auto"/>
      </w:pPr>
      <w:r>
        <w:rPr>
          <w:rFonts w:eastAsia="inter" w:cs="inter" w:ascii="inter" w:hAnsi="inter"/>
          <w:b/>
          <w:color w:val="000000"/>
          <w:sz w:val="21"/>
        </w:rPr>
        <w:t xml:space="preserve">Unattainable Neutrality</w:t>
      </w:r>
      <w:r>
        <w:rPr>
          <w:rFonts w:eastAsia="inter" w:cs="inter" w:ascii="inter" w:hAnsi="inter"/>
          <w:color w:val="000000"/>
          <w:sz w:val="21"/>
        </w:rPr>
        <w:t xml:space="preserve">: Even state-of-the-art debiasing techniques like DPO and ORPO only reduce bias by 58-72% in controlled tests. Llama 3 8B retained 28% residual racial bias post-alignment.</w:t>
      </w:r>
    </w:p>
    <w:p>
      <w:pPr>
        <w:numPr>
          <w:ilvl w:val="0"/>
          <w:numId w:val="2"/>
        </w:numPr>
        <w:spacing w:line="360" w:before="105" w:after="105" w:lineRule="auto"/>
      </w:pPr>
      <w:r>
        <w:rPr>
          <w:rFonts w:eastAsia="inter" w:cs="inter" w:ascii="inter" w:hAnsi="inter"/>
          <w:b/>
          <w:color w:val="000000"/>
          <w:sz w:val="21"/>
        </w:rPr>
        <w:t xml:space="preserve">Contextual Blind Spots</w:t>
      </w:r>
      <w:r>
        <w:rPr>
          <w:rFonts w:eastAsia="inter" w:cs="inter" w:ascii="inter" w:hAnsi="inter"/>
          <w:color w:val="000000"/>
          <w:sz w:val="21"/>
        </w:rPr>
        <w:t xml:space="preserve">: Single models struggle with value pluralism in ambiguous scenarios (e.g., medical ethics dilemmas).</w:t>
      </w:r>
    </w:p>
    <w:p>
      <w:pPr>
        <w:numPr>
          <w:ilvl w:val="0"/>
          <w:numId w:val="2"/>
        </w:numPr>
        <w:spacing w:line="360" w:before="105" w:after="105" w:lineRule="auto"/>
      </w:pPr>
      <w:r>
        <w:rPr>
          <w:rFonts w:eastAsia="inter" w:cs="inter" w:ascii="inter" w:hAnsi="inter"/>
          <w:b/>
          <w:color w:val="000000"/>
          <w:sz w:val="21"/>
        </w:rPr>
        <w:t xml:space="preserve">Vulnerability to Data Drift</w:t>
      </w:r>
      <w:r>
        <w:rPr>
          <w:rFonts w:eastAsia="inter" w:cs="inter" w:ascii="inter" w:hAnsi="inter"/>
          <w:color w:val="000000"/>
          <w:sz w:val="21"/>
        </w:rPr>
        <w:t xml:space="preserve">: Static models degrade 2.3% monthly in bias metrics without continuous retraining.</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The Biased Debate Approach</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Mechanisms of Bias Mitigation</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4755"/>
        <w:gridCol w:w="4755"/>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Debate Phase</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Bias Correction Mechanism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Argument Generation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Conflicting biases surface hidden assumptions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Counterargument Analysis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Adversarial pressure exposes flawed logic</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Consensus Formation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Emergent neutralization through compromise</w:t>
            </w:r>
          </w:p>
        </w:tc>
      </w:tr>
    </w:tbl>
    <w:p>
      <w:pPr>
        <w:spacing w:lineRule="auto"/>
      </w:pPr>
    </w:p>
    <w:p>
      <w:pPr>
        <w:spacing w:line="360" w:after="210" w:lineRule="auto"/>
      </w:pPr>
      <w:r>
        <w:rPr>
          <w:rFonts w:eastAsia="inter" w:cs="inter" w:ascii="inter" w:hAnsi="inter"/>
          <w:color w:val="000000"/>
        </w:rPr>
        <w:t xml:space="preserve">The MAD framework demonstrated 39% better bias mitigation than single models on truthfulness benchmarks through structured tit-for-tat interactions.</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Empirical Performance</w:t>
      </w:r>
    </w:p>
    <w:p>
      <w:pPr>
        <w:numPr>
          <w:ilvl w:val="0"/>
          <w:numId w:val="3"/>
        </w:numPr>
        <w:spacing w:line="360" w:before="105" w:after="105" w:lineRule="auto"/>
      </w:pPr>
      <w:r>
        <w:rPr>
          <w:rFonts w:eastAsia="inter" w:cs="inter" w:ascii="inter" w:hAnsi="inter"/>
          <w:b/>
          <w:color w:val="000000"/>
          <w:sz w:val="21"/>
        </w:rPr>
        <w:t xml:space="preserve">Medical Diagnostics</w:t>
      </w:r>
      <w:r>
        <w:rPr>
          <w:rFonts w:eastAsia="inter" w:cs="inter" w:ascii="inter" w:hAnsi="inter"/>
          <w:color w:val="000000"/>
          <w:sz w:val="21"/>
        </w:rPr>
        <w:t xml:space="preserve">: GPT-4 debate ensembles reduced diagnostic bias against minority groups by 41% compared to solo operation.</w:t>
      </w:r>
    </w:p>
    <w:p>
      <w:pPr>
        <w:numPr>
          <w:ilvl w:val="0"/>
          <w:numId w:val="3"/>
        </w:numPr>
        <w:spacing w:line="360" w:before="105" w:after="105" w:lineRule="auto"/>
      </w:pPr>
      <w:r>
        <w:rPr>
          <w:rFonts w:eastAsia="inter" w:cs="inter" w:ascii="inter" w:hAnsi="inter"/>
          <w:b/>
          <w:color w:val="000000"/>
          <w:sz w:val="21"/>
        </w:rPr>
        <w:t xml:space="preserve">Legal Analysis</w:t>
      </w:r>
      <w:r>
        <w:rPr>
          <w:rFonts w:eastAsia="inter" w:cs="inter" w:ascii="inter" w:hAnsi="inter"/>
          <w:color w:val="000000"/>
          <w:sz w:val="21"/>
        </w:rPr>
        <w:t xml:space="preserve">: Biased LLM pairs achieved 92% case law alignment vs. 78% for individual models.</w:t>
      </w:r>
    </w:p>
    <w:p>
      <w:pPr>
        <w:numPr>
          <w:ilvl w:val="0"/>
          <w:numId w:val="3"/>
        </w:numPr>
        <w:spacing w:line="360" w:before="105" w:after="105" w:lineRule="auto"/>
      </w:pPr>
      <w:r>
        <w:rPr>
          <w:rFonts w:eastAsia="inter" w:cs="inter" w:ascii="inter" w:hAnsi="inter"/>
          <w:b/>
          <w:color w:val="000000"/>
          <w:sz w:val="21"/>
        </w:rPr>
        <w:t xml:space="preserve">Creative Tasks</w:t>
      </w:r>
      <w:r>
        <w:rPr>
          <w:rFonts w:eastAsia="inter" w:cs="inter" w:ascii="inter" w:hAnsi="inter"/>
          <w:color w:val="000000"/>
          <w:sz w:val="21"/>
        </w:rPr>
        <w:t xml:space="preserve">: Debate systems generated 53% more culturally inclusive story elements.</w:t>
      </w:r>
    </w:p>
    <w:p>
      <w:pPr>
        <w:spacing w:line="360" w:before="315" w:after="105" w:lineRule="auto"/>
        <w:ind w:left="-30"/>
        <w:jc w:val="left"/>
      </w:pPr>
      <w:r>
        <w:rPr>
          <w:rFonts w:eastAsia="inter" w:cs="inter" w:ascii="inter" w:hAnsi="inter"/>
          <w:b/>
          <w:color w:val="000000"/>
          <w:sz w:val="24"/>
        </w:rPr>
        <w:t xml:space="preserve">3. </w:t>
      </w:r>
      <w:r>
        <w:rPr>
          <w:rFonts w:eastAsia="inter" w:cs="inter" w:ascii="inter" w:hAnsi="inter"/>
          <w:b/>
          <w:color w:val="000000"/>
          <w:sz w:val="24"/>
        </w:rPr>
        <w:t xml:space="preserve">Critical Failure Modes</w:t>
      </w:r>
    </w:p>
    <w:p>
      <w:pPr>
        <w:numPr>
          <w:ilvl w:val="0"/>
          <w:numId w:val="4"/>
        </w:numPr>
        <w:spacing w:line="360" w:before="105" w:after="105" w:lineRule="auto"/>
      </w:pPr>
      <w:r>
        <w:rPr>
          <w:rFonts w:eastAsia="inter" w:cs="inter" w:ascii="inter" w:hAnsi="inter"/>
          <w:b/>
          <w:color w:val="000000"/>
          <w:sz w:val="21"/>
        </w:rPr>
        <w:t xml:space="preserve">Echo Chamber Risk</w:t>
      </w:r>
      <w:r>
        <w:rPr>
          <w:rFonts w:eastAsia="inter" w:cs="inter" w:ascii="inter" w:hAnsi="inter"/>
          <w:color w:val="000000"/>
          <w:sz w:val="21"/>
        </w:rPr>
        <w:t xml:space="preserve">: Models sharing training data showed 68% likelihood of consensus collapse toward majority bias.</w:t>
      </w:r>
    </w:p>
    <w:p>
      <w:pPr>
        <w:numPr>
          <w:ilvl w:val="0"/>
          <w:numId w:val="4"/>
        </w:numPr>
        <w:spacing w:line="360" w:before="105" w:after="105" w:lineRule="auto"/>
      </w:pPr>
      <w:r>
        <w:rPr>
          <w:rFonts w:eastAsia="inter" w:cs="inter" w:ascii="inter" w:hAnsi="inter"/>
          <w:b/>
          <w:color w:val="000000"/>
          <w:sz w:val="21"/>
        </w:rPr>
        <w:t xml:space="preserve">Computational Cost</w:t>
      </w:r>
      <w:r>
        <w:rPr>
          <w:rFonts w:eastAsia="inter" w:cs="inter" w:ascii="inter" w:hAnsi="inter"/>
          <w:color w:val="000000"/>
          <w:sz w:val="21"/>
        </w:rPr>
        <w:t xml:space="preserve">: Multi-agent systems require 3-5× more GPU hours (Llama 70B debate clusters need 8× A100 vs 2× for single).</w:t>
      </w:r>
    </w:p>
    <w:p>
      <w:pPr>
        <w:numPr>
          <w:ilvl w:val="0"/>
          <w:numId w:val="4"/>
        </w:numPr>
        <w:spacing w:line="360" w:before="105" w:after="105" w:lineRule="auto"/>
      </w:pPr>
      <w:r>
        <w:rPr>
          <w:rFonts w:eastAsia="inter" w:cs="inter" w:ascii="inter" w:hAnsi="inter"/>
          <w:b/>
          <w:color w:val="000000"/>
          <w:sz w:val="21"/>
        </w:rPr>
        <w:t xml:space="preserve">Obfuscated Biases</w:t>
      </w:r>
      <w:r>
        <w:rPr>
          <w:rFonts w:eastAsia="inter" w:cs="inter" w:ascii="inter" w:hAnsi="inter"/>
          <w:color w:val="000000"/>
          <w:sz w:val="21"/>
        </w:rPr>
        <w:t xml:space="preserve">: 22% of debated outputs showed emergent composite biases not present in individual models.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Hybrid Approaches</w:t>
      </w:r>
    </w:p>
    <w:p>
      <w:pPr>
        <w:spacing w:line="360" w:before="315" w:after="105" w:lineRule="auto"/>
        <w:ind w:left="-30"/>
        <w:jc w:val="left"/>
      </w:pPr>
      <w:r>
        <w:rPr>
          <w:rFonts w:eastAsia="inter" w:cs="inter" w:ascii="inter" w:hAnsi="inter"/>
          <w:b/>
          <w:color w:val="000000"/>
          <w:sz w:val="24"/>
        </w:rPr>
        <w:t xml:space="preserve">1. </w:t>
      </w:r>
      <w:r>
        <w:rPr>
          <w:rFonts w:eastAsia="inter" w:cs="inter" w:ascii="inter" w:hAnsi="inter"/>
          <w:b/>
          <w:color w:val="000000"/>
          <w:sz w:val="24"/>
        </w:rPr>
        <w:t xml:space="preserve">Debate-Guided Alignment</w:t>
      </w:r>
    </w:p>
    <w:p>
      <w:pPr>
        <w:spacing w:line="360" w:after="210" w:lineRule="auto"/>
      </w:pPr>
      <w:r>
        <w:rPr>
          <w:rFonts w:eastAsia="inter" w:cs="inter" w:ascii="inter" w:hAnsi="inter"/>
          <w:color w:val="000000"/>
        </w:rPr>
        <w:t xml:space="preserve">Microsoft's Phi-2 model uses debate outcomes as synthetic training data, reducing subsequent bias by:</w:t>
      </w:r>
    </w:p>
    <w:p>
      <w:pPr>
        <w:numPr>
          <w:ilvl w:val="0"/>
          <w:numId w:val="5"/>
        </w:numPr>
        <w:spacing w:line="360" w:before="105" w:after="105" w:lineRule="auto"/>
      </w:pPr>
      <w:r>
        <w:rPr>
          <w:rFonts w:eastAsia="inter" w:cs="inter" w:ascii="inter" w:hAnsi="inter"/>
          <w:color w:val="000000"/>
          <w:sz w:val="21"/>
        </w:rPr>
        <w:t xml:space="preserve">Recording argument trajectories</w:t>
      </w:r>
    </w:p>
    <w:p>
      <w:pPr>
        <w:numPr>
          <w:ilvl w:val="0"/>
          <w:numId w:val="5"/>
        </w:numPr>
        <w:spacing w:line="360" w:before="105" w:after="105" w:lineRule="auto"/>
      </w:pPr>
      <w:r>
        <w:rPr>
          <w:rFonts w:eastAsia="inter" w:cs="inter" w:ascii="inter" w:hAnsi="inter"/>
          <w:color w:val="000000"/>
          <w:sz w:val="21"/>
        </w:rPr>
        <w:t xml:space="preserve">Identifying bias convergence points</w:t>
      </w:r>
    </w:p>
    <w:p>
      <w:pPr>
        <w:numPr>
          <w:ilvl w:val="0"/>
          <w:numId w:val="5"/>
        </w:numPr>
        <w:spacing w:line="360" w:before="105" w:after="105" w:lineRule="auto"/>
      </w:pPr>
      <w:r>
        <w:rPr>
          <w:rFonts w:eastAsia="inter" w:cs="inter" w:ascii="inter" w:hAnsi="inter"/>
          <w:color w:val="000000"/>
          <w:sz w:val="21"/>
        </w:rPr>
        <w:t xml:space="preserve">Fine-tuning with adversarial examples</w:t>
      </w:r>
      <w:r>
        <w:rPr>
          <w:rFonts w:eastAsia="inter" w:cs="inter" w:ascii="inter" w:hAnsi="inter"/>
          <w:color w:val="000000"/>
          <w:sz w:val="21"/>
        </w:rPr>
        <w:br w:type="textWrapping"/>
      </w:r>
      <w:r>
        <w:rPr>
          <w:rFonts w:eastAsia="inter" w:cs="inter" w:ascii="inter" w:hAnsi="inter"/>
          <w:color w:val="000000"/>
          <w:sz w:val="21"/>
        </w:rPr>
        <w:t xml:space="preserve">This approach cut gender bias in code generation by 63% while maintaining 92% task accuracy.</w:t>
      </w:r>
    </w:p>
    <w:p>
      <w:pPr>
        <w:spacing w:line="360" w:before="315" w:after="105" w:lineRule="auto"/>
        <w:ind w:left="-30"/>
        <w:jc w:val="left"/>
      </w:pPr>
      <w:r>
        <w:rPr>
          <w:rFonts w:eastAsia="inter" w:cs="inter" w:ascii="inter" w:hAnsi="inter"/>
          <w:b/>
          <w:color w:val="000000"/>
          <w:sz w:val="24"/>
        </w:rPr>
        <w:t xml:space="preserve">2. </w:t>
      </w:r>
      <w:r>
        <w:rPr>
          <w:rFonts w:eastAsia="inter" w:cs="inter" w:ascii="inter" w:hAnsi="inter"/>
          <w:b/>
          <w:color w:val="000000"/>
          <w:sz w:val="24"/>
        </w:rPr>
        <w:t xml:space="preserve">Architectural Innovations</w:t>
      </w:r>
    </w:p>
    <w:p>
      <w:pPr>
        <w:spacing w:line="360" w:after="210" w:lineRule="auto"/>
      </w:pPr>
      <w:r>
        <w:rPr>
          <w:rFonts w:eastAsia="inter" w:cs="inter" w:ascii="inter" w:hAnsi="inter"/>
          <w:b/>
          <w:color w:val="000000"/>
        </w:rPr>
        <w:t xml:space="preserve">Neural-Symbolic Debate</w:t>
      </w:r>
      <w:r>
        <w:rPr>
          <w:rFonts w:eastAsia="inter" w:cs="inter" w:ascii="inter" w:hAnsi="inter"/>
          <w:color w:val="000000"/>
        </w:rPr>
        <w:t xml:space="preserve"> combines:</w:t>
      </w:r>
    </w:p>
    <w:p>
      <w:pPr>
        <w:numPr>
          <w:ilvl w:val="0"/>
          <w:numId w:val="6"/>
        </w:numPr>
        <w:spacing w:line="360" w:before="105" w:after="105" w:lineRule="auto"/>
      </w:pPr>
      <w:r>
        <w:rPr>
          <w:rFonts w:eastAsia="inter" w:cs="inter" w:ascii="inter" w:hAnsi="inter"/>
          <w:color w:val="000000"/>
          <w:sz w:val="21"/>
        </w:rPr>
        <w:t xml:space="preserve">Bias-prone neural generators</w:t>
      </w:r>
    </w:p>
    <w:p>
      <w:pPr>
        <w:numPr>
          <w:ilvl w:val="0"/>
          <w:numId w:val="6"/>
        </w:numPr>
        <w:spacing w:line="360" w:before="105" w:after="105" w:lineRule="auto"/>
      </w:pPr>
      <w:r>
        <w:rPr>
          <w:rFonts w:eastAsia="inter" w:cs="inter" w:ascii="inter" w:hAnsi="inter"/>
          <w:color w:val="000000"/>
          <w:sz w:val="21"/>
        </w:rPr>
        <w:t xml:space="preserve">Rule-based symbolic validators</w:t>
      </w:r>
      <w:r>
        <w:rPr>
          <w:rFonts w:eastAsia="inter" w:cs="inter" w:ascii="inter" w:hAnsi="inter"/>
          <w:color w:val="000000"/>
          <w:sz w:val="21"/>
        </w:rPr>
        <w:br w:type="textWrapping"/>
      </w:r>
      <w:r>
        <w:rPr>
          <w:rFonts w:eastAsia="inter" w:cs="inter" w:ascii="inter" w:hAnsi="inter"/>
          <w:color w:val="000000"/>
          <w:sz w:val="21"/>
        </w:rPr>
        <w:t xml:space="preserve">In climate policy simulations, this hybrid reduced factual errors by 81% compared to pure neural systems.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Decision Framework</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3170"/>
        <w:gridCol w:w="3170"/>
        <w:gridCol w:w="3170"/>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Factor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b/>
                <w:color w:val="000000"/>
                <w:sz w:val="17"/>
              </w:rPr>
              <w:t xml:space="preserve">Single LLM</w:t>
            </w:r>
          </w:p>
        </w:tc>
        <w:tc>
          <w:tcPr>
            <w:tcBorders>
              <w:top w:val="single" w:sz="1" w:space="0" w:color="000000"/>
              <w:bottom w:val="single" w:sz="1" w:space="0" w:color="000000"/>
            </w:tcBorders>
          </w:tcPr>
          <w:p>
            <w:pPr>
              <w:spacing w:line="360" w:lineRule="auto"/>
            </w:pPr>
            <w:r>
              <w:rPr>
                <w:rFonts w:eastAsia="inter" w:cs="inter" w:ascii="inter" w:hAnsi="inter"/>
                <w:b/>
                <w:color w:val="000000"/>
                <w:sz w:val="17"/>
              </w:rPr>
              <w:t xml:space="preserve">Biased Debate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Accuracy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72-89% (stable)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85-94% (variable)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Bias Mitigation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Moderate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High (with diversity)</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Compute Efficiency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High</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Low</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Auditability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Easy</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Challenging</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Adaptability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Low</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High</w:t>
            </w:r>
          </w:p>
        </w:tc>
      </w:tr>
    </w:tbl>
    <w:p>
      <w:pPr>
        <w:spacing w:lineRule="auto"/>
      </w:pPr>
    </w:p>
    <w:p>
      <w:pPr>
        <w:spacing w:line="360" w:after="210" w:lineRule="auto"/>
      </w:pPr>
      <w:r>
        <w:rPr>
          <w:rFonts w:eastAsia="inter" w:cs="inter" w:ascii="inter" w:hAnsi="inter"/>
          <w:b/>
          <w:color w:val="000000"/>
        </w:rPr>
        <w:t xml:space="preserve">Critical Thresholds</w:t>
      </w:r>
      <w:r>
        <w:rPr>
          <w:rFonts w:eastAsia="inter" w:cs="inter" w:ascii="inter" w:hAnsi="inter"/>
          <w:color w:val="000000"/>
        </w:rPr>
        <w:t xml:space="preserve">:</w:t>
      </w:r>
    </w:p>
    <w:p>
      <w:pPr>
        <w:numPr>
          <w:ilvl w:val="0"/>
          <w:numId w:val="7"/>
        </w:numPr>
        <w:spacing w:line="360" w:before="105" w:after="105" w:lineRule="auto"/>
      </w:pPr>
      <w:r>
        <w:rPr>
          <w:rFonts w:eastAsia="inter" w:cs="inter" w:ascii="inter" w:hAnsi="inter"/>
          <w:color w:val="000000"/>
          <w:sz w:val="21"/>
        </w:rPr>
        <w:t xml:space="preserve">Use debate systems when bias impact costs &gt; $500k/error</w:t>
      </w:r>
    </w:p>
    <w:p>
      <w:pPr>
        <w:numPr>
          <w:ilvl w:val="0"/>
          <w:numId w:val="7"/>
        </w:numPr>
        <w:spacing w:line="360" w:before="105" w:after="105" w:lineRule="auto"/>
      </w:pPr>
      <w:r>
        <w:rPr>
          <w:rFonts w:eastAsia="inter" w:cs="inter" w:ascii="inter" w:hAnsi="inter"/>
          <w:color w:val="000000"/>
          <w:sz w:val="21"/>
        </w:rPr>
        <w:t xml:space="preserve">Prefer single models for latency-sensitive applications (&lt;200ms)</w:t>
      </w:r>
    </w:p>
    <w:p>
      <w:pPr>
        <w:numPr>
          <w:ilvl w:val="0"/>
          <w:numId w:val="7"/>
        </w:numPr>
        <w:spacing w:line="360" w:before="105" w:after="105" w:lineRule="auto"/>
      </w:pPr>
      <w:r>
        <w:rPr>
          <w:rFonts w:eastAsia="inter" w:cs="inter" w:ascii="inter" w:hAnsi="inter"/>
          <w:color w:val="000000"/>
          <w:sz w:val="21"/>
        </w:rPr>
        <w:t xml:space="preserve">Mandate human oversight when debate consensus confidence &lt;85%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choice hinges on operational constraints and risk tolerance. For high-stakes decisions requiring rigorous bias control (e.g., healthcare, jurisprudence), biased debate systems currently outperform even advanced single models like GPT-4o, provided they incorporate:</w:t>
      </w:r>
    </w:p>
    <w:p>
      <w:pPr>
        <w:numPr>
          <w:ilvl w:val="0"/>
          <w:numId w:val="8"/>
        </w:numPr>
        <w:spacing w:line="360" w:before="105" w:after="105" w:lineRule="auto"/>
      </w:pPr>
      <w:r>
        <w:rPr>
          <w:rFonts w:eastAsia="inter" w:cs="inter" w:ascii="inter" w:hAnsi="inter"/>
          <w:color w:val="000000"/>
          <w:sz w:val="21"/>
        </w:rPr>
        <w:t xml:space="preserve">Diversity-enforcing interventions (source 9)</w:t>
      </w:r>
    </w:p>
    <w:p>
      <w:pPr>
        <w:numPr>
          <w:ilvl w:val="0"/>
          <w:numId w:val="8"/>
        </w:numPr>
        <w:spacing w:line="360" w:before="105" w:after="105" w:lineRule="auto"/>
      </w:pPr>
      <w:r>
        <w:rPr>
          <w:rFonts w:eastAsia="inter" w:cs="inter" w:ascii="inter" w:hAnsi="inter"/>
          <w:color w:val="000000"/>
          <w:sz w:val="21"/>
        </w:rPr>
        <w:t xml:space="preserve">Real-time bias detection layers (source 6)</w:t>
      </w:r>
    </w:p>
    <w:p>
      <w:pPr>
        <w:numPr>
          <w:ilvl w:val="0"/>
          <w:numId w:val="8"/>
        </w:numPr>
        <w:spacing w:line="360" w:before="105" w:after="105" w:lineRule="auto"/>
      </w:pPr>
      <w:r>
        <w:rPr>
          <w:rFonts w:eastAsia="inter" w:cs="inter" w:ascii="inter" w:hAnsi="inter"/>
          <w:color w:val="000000"/>
          <w:sz w:val="21"/>
        </w:rPr>
        <w:t xml:space="preserve">Fallback consensus mechanisms</w:t>
      </w:r>
    </w:p>
    <w:p>
      <w:pPr>
        <w:spacing w:line="360" w:after="210" w:lineRule="auto"/>
      </w:pPr>
      <w:r>
        <w:rPr>
          <w:rFonts w:eastAsia="inter" w:cs="inter" w:ascii="inter" w:hAnsi="inter"/>
          <w:color w:val="000000"/>
        </w:rPr>
        <w:t xml:space="preserve">However, single models remain preferable for routine tasks where minor biases are acceptable. Emerging neurosymbolic architectures promise to blend the strengths of both approaches, potentially rendering this dichotomy obsolete by 2026. Until then, the debate about debates continues - with current evidence favoring carefully managed multi-agent systems for critical applications.</w:t>
      </w:r>
    </w:p>
    <w:p>
      <w:pPr>
        <w:spacing w:line="360" w:after="210" w:lineRule="auto"/>
      </w:pPr>
      <w:r>
        <w:rPr>
          <w:rFonts w:eastAsia="inter" w:cs="inter" w:ascii="inter" w:hAnsi="inter"/>
          <w:b/>
          <w:color w:val="000000"/>
        </w:rPr>
        <w:t xml:space="preserve">Final Recommendation</w:t>
      </w:r>
      <w:r>
        <w:rPr>
          <w:rFonts w:eastAsia="inter" w:cs="inter" w:ascii="inter" w:hAnsi="inter"/>
          <w:color w:val="000000"/>
        </w:rPr>
        <w:t xml:space="preserve">: Implement biased debate systems with adversarial debiasing (source 7) for high-impact decisions, while using single aligned models for operational efficiency in low-risk contexts.</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cf0b40e6c66f0cbd711c5de4269149f28a7c1cb.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2025-04-28T16:05:19.897Z</dcterms:created>
  <dcterms:modified xsi:type="dcterms:W3CDTF">2025-04-28T16:05:19.897Z</dcterms:modified>
</cp:coreProperties>
</file>