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khắc phục lỗi dự báo HMM</w:t>
      </w:r>
    </w:p>
    <w:p>
      <w:pPr>
        <w:spacing w:after="240"/>
        <w:jc w:val="left"/>
      </w:pPr>
      <w:r>
        <w:rPr>
          <w:color w:val="535F69"/>
          <w:sz w:val="18"/>
        </w:rPr>
        <w:t>Dự án Forex Prediction  |  17 tháng 10 năm 2026</w:t>
      </w:r>
    </w:p>
    <w:p>
      <w:pPr>
        <w:spacing w:after="140"/>
      </w:pPr>
      <w:r>
        <w:t>Báo cáo này giải thích hai lỗi liên tiếp khi chuẩn bị dữ liệu EUR/USD, nguyên nhân gây nhấp nháy ở biểu tượng tài khoản và cách khôi phục luồng dữ liệu đến mô hình Hidden Markov. Sau khi sửa, ứng dụng đã đồng bộ dữ liệu Twelve Data thật, huấn luyện mô hình và trả về dự báo 30 phiên.</w:t>
      </w:r>
    </w:p>
    <w:p>
      <w:pPr>
        <w:pStyle w:val="Heading1"/>
        <w:keepNext/>
      </w:pPr>
      <w:r>
        <w:t>Kết luận và nguyên nhân</w:t>
      </w:r>
    </w:p>
    <w:p>
      <w:pPr>
        <w:spacing w:after="140"/>
      </w:pPr>
      <w:r>
        <w:t>Ảnh lỗi cho thấy API trả về “sync_daily_pair() got an unexpected keyword argument 'period'”. Hàm chuẩn bị cặp tiền truyền period theo giao diện yfinance cũ, trong khi hàm đồng bộ hiện dùng Twelve Data và chỉ nhận outputsize là số nến ngày. Python chặn lời gọi trước khi tải OHLC; do đó HMM không có dữ liệu để huấn luyện và dashboard không thể hiển thị mô hình đã duyệt.</w:t>
      </w:r>
    </w:p>
    <w:p>
      <w:pPr>
        <w:spacing w:after="140"/>
      </w:pPr>
      <w:r>
        <w:t>Sau khi có khóa Twelve Data, lần đồng bộ đầu tiên lại gặp UNIQUE constraint failed trên bộ ba pair, timeframe, timestamp. Phản hồi nguồn có 1499 nến hợp lệ nhưng một mốc ngày xuất hiện hai lần. Hàm cũ đưa cả hai bản ghi vào cùng giao dịch; truy vấn tìm bản ghi đã lưu không thấy bản ghi đang chờ ghi, nên SQLite từ chối giao dịch. Lỗi nhấp nháy khi rê chuột ở góc tài khoản đến từ tooltip “Account settings” gắn lên avatar tĩnh, dù giao diện chưa có trang cài đặt tài khoản.</w:t>
      </w:r>
    </w:p>
    <w:tbl>
      <w:tblPr>
        <w:tblW w:type="auto" w:w="0"/>
        <w:tblLayout w:type="fixed"/>
        <w:tblLook w:firstColumn="1" w:firstRow="1" w:lastColumn="0" w:lastRow="0" w:noHBand="0" w:noVBand="1" w:val="04A0"/>
      </w:tblPr>
      <w:tblGrid>
        <w:gridCol w:w="3672"/>
        <w:gridCol w:w="6120"/>
      </w:tblGrid>
      <w:tr>
        <w:tc>
          <w:tcPr>
            <w:tcW w:type="dxa" w:w="3672"/>
            <w:shd w:fill="203449"/>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pPr>
            <w:r>
              <w:rPr>
                <w:b/>
                <w:color w:val="FFFFFF"/>
                <w:sz w:val="19"/>
              </w:rPr>
              <w:t>Bằng chứng</w:t>
            </w:r>
          </w:p>
        </w:tc>
        <w:tc>
          <w:tcPr>
            <w:tcW w:type="dxa" w:w="6120"/>
            <w:shd w:fill="203449"/>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pPr>
            <w:r>
              <w:rPr>
                <w:b/>
                <w:color w:val="FFFFFF"/>
                <w:sz w:val="19"/>
              </w:rPr>
              <w:t>Ý nghĩa</w:t>
            </w:r>
          </w:p>
        </w:tc>
      </w:tr>
      <w:tr>
        <w:tc>
          <w:tcPr>
            <w:tcW w:type="dxa" w:w="36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/api/search/EURUSD → lỗi chuẩn bị EUR/USD</w:t>
            </w:r>
          </w:p>
        </w:tc>
        <w:tc>
          <w:tcPr>
            <w:tcW w:type="dxa" w:w="612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Đường tìm kiếm tự đồng bộ bị ngắt trước bước lấy dữ liệu.</w:t>
            </w:r>
          </w:p>
        </w:tc>
      </w:tr>
      <w:tr>
        <w:tc>
          <w:tcPr>
            <w:tcW w:type="dxa" w:w="36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F3F6F8"/>
          </w:tcPr>
          <w:p>
            <w:pPr>
              <w:spacing w:after="0" w:line="259" w:lineRule="auto"/>
            </w:pPr>
            <w:r>
              <w:rPr>
                <w:sz w:val="19"/>
              </w:rPr>
              <w:t>period='5y' truyền vào sync_daily_pair</w:t>
            </w:r>
          </w:p>
        </w:tc>
        <w:tc>
          <w:tcPr>
            <w:tcW w:type="dxa" w:w="612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F3F6F8"/>
          </w:tcPr>
          <w:p>
            <w:pPr>
              <w:spacing w:after="0" w:line="259" w:lineRule="auto"/>
            </w:pPr>
            <w:r>
              <w:rPr>
                <w:sz w:val="19"/>
              </w:rPr>
              <w:t>Sai chữ ký hàm; Twelve Data dùng outputsize trong khoảng 1–5000.</w:t>
            </w:r>
          </w:p>
        </w:tc>
      </w:tr>
      <w:tr>
        <w:tc>
          <w:tcPr>
            <w:tcW w:type="dxa" w:w="367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Môi trường Python cũ trỏ đến C:\Users\tathe\...\Python312</w:t>
            </w:r>
          </w:p>
        </w:tc>
        <w:tc>
          <w:tcPr>
            <w:tcW w:type="dxa" w:w="612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Bản venv chép từ máy/đường dẫn cũ không còn khởi động được trên máy hiện tại.</w:t>
            </w:r>
          </w:p>
        </w:tc>
      </w:tr>
    </w:tbl>
    <w:p>
      <w:pPr>
        <w:spacing w:after="0"/>
      </w:pPr>
    </w:p>
    <w:p>
      <w:pPr>
        <w:pStyle w:val="Heading1"/>
        <w:keepNext/>
      </w:pPr>
      <w:r>
        <w:t>Thay đổi trong mã nguồn</w:t>
      </w:r>
    </w:p>
    <w:p>
      <w:pPr>
        <w:pStyle w:val="ListBullet"/>
        <w:spacing w:after="60"/>
      </w:pPr>
      <w:r>
        <w:t>Đổi cấu hình sang AUTO_PREPARE_OUTPUTSIZE=1500, giới hạn hợp lệ 260–5000 và truyền đúng outputsize khi đồng bộ. Mức 1500 đủ dữ liệu cho cửa sổ độ biến động 20 phiên và chia train/validation 80/20 trong trường hợp dữ liệu nguồn có lịch sử tương ứng.</w:t>
      </w:r>
    </w:p>
    <w:p>
      <w:pPr>
        <w:pStyle w:val="ListBullet"/>
        <w:spacing w:after="60"/>
      </w:pPr>
      <w:r>
        <w:t>Bỏ nến có giá không hữu hạn hoặc không dương trước khi tạo log-return, tránh đưa log(0) hoặc dữ liệu lỗi vào đặc trưng HMM.</w:t>
      </w:r>
    </w:p>
    <w:p>
      <w:pPr>
        <w:pStyle w:val="ListBullet"/>
        <w:spacing w:after="60"/>
      </w:pPr>
      <w:r>
        <w:t>Gộp nến ngày theo timestamp sau bước kiểm tra dữ liệu, chỉ giữ bản ghi hợp lệ cuối cùng cho mỗi ngày rồi mới ghi vào SQLite. Lần đồng bộ lại cập nhật bản ghi đã có mà không vi phạm khóa duy nhất.</w:t>
      </w:r>
    </w:p>
    <w:p>
      <w:pPr>
        <w:pStyle w:val="ListBullet"/>
        <w:spacing w:after="60"/>
      </w:pPr>
      <w:r>
        <w:t>Đặt forecast_for_timestamp vào ngày làm việc kế tiếp, trùng phiên đầu của dự báo Monte Carlo; tránh lệch sang cuối tuần khi nến cuối là thứ Sáu.</w:t>
      </w:r>
    </w:p>
    <w:p>
      <w:pPr>
        <w:pStyle w:val="ListBullet"/>
        <w:spacing w:after="60"/>
      </w:pPr>
      <w:r>
        <w:t>Bỏ tooltip “Account settings” khỏi avatar vì phần tử này không mở trang cài đặt; tránh lớp phủ hiện rồi ẩn liên tục khi rê chuột.</w:t>
      </w:r>
    </w:p>
    <w:p>
      <w:pPr>
        <w:pStyle w:val="ListBullet"/>
        <w:spacing w:after="60"/>
      </w:pPr>
      <w:r>
        <w:t>Cập nhật tài liệu cấu hình và nguồn dữ liệu thực tế. Tạo môi trường .venv mới bằng Python 3.13; môi trường này nằm ngoài Git và được npm run start ưu tiên sử dụng.</w:t>
      </w:r>
    </w:p>
    <w:p>
      <w:pPr>
        <w:pStyle w:val="Heading1"/>
        <w:keepNext/>
      </w:pPr>
      <w:r>
        <w:t>Luồng HMM được kiểm tra</w:t>
      </w:r>
    </w:p>
    <w:p>
      <w:pPr>
        <w:spacing w:after="140"/>
      </w:pPr>
      <w:r>
        <w:t>Dữ liệu OHLC đã lưu được biến thành bốn đặc trưng nhân quả: log-return của giá đóng cửa, biến động trong nến, biên độ ngày và độ lệch chuẩn log-return trong 20 phiên. Giá trị trung bình và độ lệch chuẩn chỉ được ước lượng trên 80% dữ liệu huấn luyện đầu tiên, sau đó áp dụng nguyên trạng cho 20% cuối để đánh giá theo thời gian.</w:t>
      </w:r>
    </w:p>
    <w:p>
      <w:pPr>
        <w:spacing w:after="140"/>
      </w:pPr>
      <w:r>
        <w:t>GaussianHMM dùng ba trạng thái ẩn với hiệp phương sai đường chéo. Ba nhãn Bear, Sideways và Bull được gán theo lợi suất log trung bình của các trạng thái trên tập train. API trả riêng xác suất hậu nghiệm trạng thái hiện tại và xác suất trạng thái phiên kế tiếp sau khi áp dụng ma trận chuyển. Mô phỏng 600 đường giá cho 30 phiên bằng cách lấy mẫu trạng thái chuyển tiếp, lấy mẫu phát xạ log-return của trạng thái đó và cộng dồn vào log giá cuối. Đường trung vị cùng phân vị 10% và 90% tạo dải dự báo.</w:t>
      </w:r>
    </w:p>
    <w:p>
      <w:pPr>
        <w:pStyle w:val="Heading1"/>
        <w:keepNext/>
      </w:pPr>
      <w:r>
        <w:t>Kết quả xác minh</w:t>
      </w:r>
    </w:p>
    <w:tbl>
      <w:tblPr>
        <w:tblW w:type="auto" w:w="0"/>
        <w:tblLayout w:type="fixed"/>
        <w:tblLook w:firstColumn="1" w:firstRow="1" w:lastColumn="0" w:lastRow="0" w:noHBand="0" w:noVBand="1" w:val="04A0"/>
      </w:tblPr>
      <w:tblGrid>
        <w:gridCol w:w="3240"/>
        <w:gridCol w:w="6552"/>
      </w:tblGrid>
      <w:tr>
        <w:tc>
          <w:tcPr>
            <w:tcW w:type="dxa" w:w="3240"/>
            <w:shd w:fill="203449"/>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pPr>
            <w:r>
              <w:rPr>
                <w:b/>
                <w:color w:val="FFFFFF"/>
                <w:sz w:val="19"/>
              </w:rPr>
              <w:t>Hạng mục</w:t>
            </w:r>
          </w:p>
        </w:tc>
        <w:tc>
          <w:tcPr>
            <w:tcW w:type="dxa" w:w="6552"/>
            <w:shd w:fill="203449"/>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pPr>
            <w:r>
              <w:rPr>
                <w:b/>
                <w:color w:val="FFFFFF"/>
                <w:sz w:val="19"/>
              </w:rPr>
              <w:t>Kết quả</w:t>
            </w:r>
          </w:p>
        </w:tc>
      </w:tr>
      <w:tr>
        <w:tc>
          <w:tcPr>
            <w:tcW w:type="dxa" w:w="32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Kiểm tra tích hợp offline</w:t>
            </w:r>
          </w:p>
        </w:tc>
        <w:tc>
          <w:tcPr>
            <w:tcW w:type="dxa" w:w="65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Đạt: nguồn giả lập có một ngày trùng lặp vẫn chỉ lưu 320 nến; lần đồng bộ lại thêm 0 nến, cập nhật 320 nến; HMM trả 30 điểm dự báo.</w:t>
            </w:r>
          </w:p>
        </w:tc>
      </w:tr>
      <w:tr>
        <w:tc>
          <w:tcPr>
            <w:tcW w:type="dxa" w:w="32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F3F6F8"/>
          </w:tcPr>
          <w:p>
            <w:pPr>
              <w:spacing w:after="0" w:line="259" w:lineRule="auto"/>
            </w:pPr>
            <w:r>
              <w:rPr>
                <w:sz w:val="19"/>
              </w:rPr>
              <w:t>Tính nhất quán HMM</w:t>
            </w:r>
          </w:p>
        </w:tc>
        <w:tc>
          <w:tcPr>
            <w:tcW w:type="dxa" w:w="65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F3F6F8"/>
          </w:tcPr>
          <w:p>
            <w:pPr>
              <w:spacing w:after="0" w:line="259" w:lineRule="auto"/>
            </w:pPr>
            <w:r>
              <w:rPr>
                <w:sz w:val="19"/>
              </w:rPr>
              <w:t>Đạt: điểm validation hữu hạn; hai bộ xác suất đều cộng về 1; lower ≤ expected ≤ upper và giá dương.</w:t>
            </w:r>
          </w:p>
        </w:tc>
      </w:tr>
      <w:tr>
        <w:tc>
          <w:tcPr>
            <w:tcW w:type="dxa" w:w="32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Mốc thời gian</w:t>
            </w:r>
          </w:p>
        </w:tc>
        <w:tc>
          <w:tcPr>
            <w:tcW w:type="dxa" w:w="65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Đạt: nến cuối thứ Sáu cho dự báo một phiên và điểm đầu đồ thị vào thứ Hai.</w:t>
            </w:r>
          </w:p>
        </w:tc>
      </w:tr>
      <w:tr>
        <w:tc>
          <w:tcPr>
            <w:tcW w:type="dxa" w:w="32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F3F6F8"/>
          </w:tcPr>
          <w:p>
            <w:pPr>
              <w:spacing w:after="0" w:line="259" w:lineRule="auto"/>
            </w:pPr>
            <w:r>
              <w:rPr>
                <w:sz w:val="19"/>
              </w:rPr>
              <w:t>Bản dựng và khởi động giao diện</w:t>
            </w:r>
          </w:p>
        </w:tc>
        <w:tc>
          <w:tcPr>
            <w:tcW w:type="dxa" w:w="65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shd w:fill="F3F6F8"/>
          </w:tcPr>
          <w:p>
            <w:pPr>
              <w:spacing w:after="0" w:line="259" w:lineRule="auto"/>
            </w:pPr>
            <w:r>
              <w:rPr>
                <w:sz w:val="19"/>
              </w:rPr>
              <w:t>Đạt: npm run build và npm run start; trang EUR/USD hiển thị dữ liệu và dự báo HMM.</w:t>
            </w:r>
          </w:p>
        </w:tc>
      </w:tr>
      <w:tr>
        <w:tc>
          <w:tcPr>
            <w:tcW w:type="dxa" w:w="3240"/>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Dữ liệu Twelve Data thật</w:t>
            </w:r>
          </w:p>
        </w:tc>
        <w:tc>
          <w:tcPr>
            <w:tcW w:type="dxa" w:w="6552"/>
            <w:tcBorders>
              <w:top w:val="single" w:sz="4" w:color="D9D9D9"/>
              <w:left w:val="single" w:sz="4" w:color="D9D9D9"/>
              <w:bottom w:val="single" w:sz="4" w:color="D9D9D9"/>
              <w:right w:val="single" w:sz="4" w:color="D9D9D9"/>
            </w:tcBorders>
            <w:tcMar>
              <w:top w:w="90" w:type="dxa"/>
              <w:start w:w="110" w:type="dxa"/>
              <w:bottom w:w="90" w:type="dxa"/>
              <w:end w:w="110" w:type="dxa"/>
            </w:tcMar>
            <w:vAlign w:val="center"/>
          </w:tcPr>
          <w:p>
            <w:pPr>
              <w:spacing w:after="0" w:line="259" w:lineRule="auto"/>
            </w:pPr>
            <w:r>
              <w:rPr>
                <w:sz w:val="19"/>
              </w:rPr>
              <w:t>Đạt: EUR/USD đồng bộ 1498 nến ngày duy nhất; API tìm kiếm trả 250 nến, mô hình approved và 30 điểm dự báo. Lần gọi thứ hai không cần chuẩn bị lại.</w:t>
            </w:r>
          </w:p>
        </w:tc>
      </w:tr>
    </w:tbl>
    <w:p>
      <w:pPr>
        <w:spacing w:after="0"/>
      </w:pPr>
    </w:p>
    <w:p>
      <w:pPr>
        <w:pStyle w:val="Heading1"/>
        <w:keepNext/>
      </w:pPr>
      <w:r>
        <w:t>Cách chạy trên máy hiện tại</w:t>
      </w:r>
    </w:p>
    <w:p>
      <w:pPr>
        <w:spacing w:after="140"/>
      </w:pPr>
      <w:r>
        <w:t>Điền TWELVE_DATA_API_KEY vào tệp .env ở thư mục gốc E:\Forex; không đưa khóa vào Git. Môi trường Python .venv đã được tạo lại trong workspace này và các gói backend đã cài; nếu chuyển dự án sang máy khác, cần tạo lại môi trường ảo và cài requirements. Chạy npm run start tại E:\Forex rồi mở http://127.0.0.1:8000. Lần tìm kiếm đầu tiên sẽ đồng bộ tối đa 1500 nến ngày và tạo mô hình cho cặp tiền.</w:t>
      </w:r>
    </w:p>
    <w:p>
      <w:pPr>
        <w:pStyle w:val="Heading1"/>
        <w:keepNext/>
      </w:pPr>
      <w:r>
        <w:t>Giới hạn còn lại</w:t>
      </w:r>
    </w:p>
    <w:p>
      <w:pPr>
        <w:spacing w:after="140"/>
      </w:pPr>
      <w:r>
        <w:t>Kiểm tra với dữ liệu thật xác nhận luồng phần mềm vận hành, chưa chứng minh độ chính xác dự báo ngoài mẫu hay hiệu quả giao dịch. Đánh giá hiện chỉ dùng một lần chia 80/20; cần walk-forward và kiểm tra độ ổn định trạng thái trước khi dùng cho quyết định tài chính. Lịch tương lai hiện loại cuối tuần nhưng chưa loại ngày nghỉ thị trường. Phiên bản hmmlearn hiện phát cảnh báo tương thích NumPy 2.5, chưa làm bài kiểm tra thất bại.</w:t>
      </w:r>
    </w:p>
    <w:sectPr w:rsidR="00FC693F" w:rsidRPr="0006063C" w:rsidSect="00034616">
      <w:footerReference w:type="default" r:id="rId9"/>
      <w:pgSz w:w="12240" w:h="15840"/>
      <w:pgMar w:top="1123" w:right="1210" w:bottom="1037" w:left="121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E78"/>
        <w:sz w:val="16"/>
      </w:rPr>
      <w:t xml:space="preserve">Forex Prediction  •  Báo cáo kỹ thuật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color w:val="1820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khắc phục lỗi dự báo HMM</dc:title>
  <dc:subject>Phân tích lỗi, sửa mã và xác minh mô hình Hidden Markov</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