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kiến trúc và vận hành website dự báo Forex</w:t>
      </w:r>
    </w:p>
    <w:p>
      <w:pPr>
        <w:spacing w:after="240"/>
      </w:pPr>
      <w:r>
        <w:rPr>
          <w:color w:val="535F69"/>
          <w:sz w:val="18"/>
        </w:rPr>
        <w:t>Dự án markovfx  |  17 tháng 10 năm 2026  |  Mã nguồn tại E:\Forex</w:t>
      </w:r>
    </w:p>
    <w:p>
      <w:pPr>
        <w:spacing w:after="100"/>
      </w:pPr>
      <w:r>
        <w:t>Website hiển thị lịch sử giá ngoại hối theo nến ngày, nhận giá gần thời gian thực và ước lượng trạng thái thị trường bằng Hidden Markov Model (HMM). Báo cáo mô tả luồng từ Twelve Data đến giao diện, công thức đang được triển khai và cơ chế tự làm mới. Kết quả là phân tích xác suất; website không đặt lệnh giao dịch.</w:t>
      </w:r>
    </w:p>
    <w:p>
      <w:pPr>
        <w:pStyle w:val="Heading1"/>
        <w:keepNext/>
      </w:pPr>
      <w:r>
        <w:t>1  Phạm vi và chức năng</w:t>
      </w:r>
    </w:p>
    <w:p>
      <w:pPr>
        <w:pStyle w:val="ListBullet"/>
        <w:spacing w:after="40"/>
      </w:pPr>
      <w:r>
        <w:t>Tìm cặp tiền như EUR/USD; lần đầu có thể tải lịch sử OHLC, xây dựng đặc trưng, huấn luyện và tự duyệt mô hình cho cặp đó nếu AUTO_PREPARE_PAIRS=true.</w:t>
      </w:r>
    </w:p>
    <w:p>
      <w:pPr>
        <w:pStyle w:val="ListBullet"/>
        <w:spacing w:after="40"/>
      </w:pPr>
      <w:r>
        <w:t>Hiển thị 250 nến ngày gần nhất, giá live phủ lên nến đang hình thành, nhãn trạng thái Bear, Sideways hoặc Bull, xác suất trạng thái tiếp theo và đường dự báo 30 phiên.</w:t>
      </w:r>
    </w:p>
    <w:p>
      <w:pPr>
        <w:pStyle w:val="ListBullet"/>
        <w:spacing w:after="40"/>
      </w:pPr>
      <w:r>
        <w:t>Cho phép làm mới bằng nút Refresh data. Khi tab hiển thị, giá live được kiểm tra mỗi 60 giây và toàn bộ biểu đồ được làm mới mỗi 300 giây theo mặc định.</w:t>
      </w:r>
    </w:p>
    <w:p>
      <w:pPr>
        <w:pStyle w:val="Heading1"/>
        <w:keepNext/>
      </w:pPr>
      <w:r>
        <w:t>2  Kiến trúc tổng thể</w:t>
      </w:r>
    </w:p>
    <w:tbl>
      <w:tblPr>
        <w:tblW w:type="auto" w:w="0"/>
        <w:tblLayout w:type="fixed"/>
        <w:tblLook w:firstColumn="1" w:firstRow="1" w:lastColumn="0" w:lastRow="0" w:noHBand="0" w:noVBand="1" w:val="04A0"/>
      </w:tblPr>
      <w:tblGrid>
        <w:gridCol w:w="1944"/>
        <w:gridCol w:w="7992"/>
      </w:tblGrid>
      <w:tr>
        <w:tc>
          <w:tcPr>
            <w:tcW w:type="dxa" w:w="1944"/>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Tầng</w:t>
            </w:r>
          </w:p>
        </w:tc>
        <w:tc>
          <w:tcPr>
            <w:tcW w:type="dxa" w:w="7992"/>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Vai trò và thành phần</w:t>
            </w:r>
          </w:p>
        </w:tc>
      </w:tr>
      <w:tr>
        <w:tc>
          <w:tcPr>
            <w:tcW w:type="dxa" w:w="1944"/>
            <w:vAlign w:val="center"/>
            <w:tcBorders>
              <w:top w:val="single" w:sz="4" w:color="D8DEE3"/>
              <w:left w:val="single" w:sz="4" w:color="D8DEE3"/>
              <w:bottom w:val="single" w:sz="4" w:color="D8DEE3"/>
              <w:right w:val="single" w:sz="4" w:color="D8DEE3"/>
            </w:tcBorders>
          </w:tcPr>
          <w:p>
            <w:pPr>
              <w:spacing w:after="0" w:line="259" w:lineRule="auto"/>
            </w:pPr>
            <w:r>
              <w:rPr>
                <w:sz w:val="17"/>
              </w:rPr>
              <w:t>Giao diện</w:t>
            </w:r>
          </w:p>
        </w:tc>
        <w:tc>
          <w:tcPr>
            <w:tcW w:type="dxa" w:w="7992"/>
            <w:vAlign w:val="center"/>
            <w:tcBorders>
              <w:top w:val="single" w:sz="4" w:color="D8DEE3"/>
              <w:left w:val="single" w:sz="4" w:color="D8DEE3"/>
              <w:bottom w:val="single" w:sz="4" w:color="D8DEE3"/>
              <w:right w:val="single" w:sz="4" w:color="D8DEE3"/>
            </w:tcBorders>
          </w:tcPr>
          <w:p>
            <w:pPr>
              <w:spacing w:after="0" w:line="259" w:lineRule="auto"/>
            </w:pPr>
            <w:r>
              <w:rPr>
                <w:sz w:val="17"/>
              </w:rPr>
              <w:t>React, Vite và Fluent UI trong src/main.jsx. Gọi REST API, vẽ nến SVG và dải dự báo; không giữ khóa Twelve Data.</w:t>
            </w:r>
          </w:p>
        </w:tc>
      </w:tr>
      <w:tr>
        <w:tc>
          <w:tcPr>
            <w:tcW w:type="dxa" w:w="194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API</w:t>
            </w:r>
          </w:p>
        </w:tc>
        <w:tc>
          <w:tcPr>
            <w:tcW w:type="dxa" w:w="799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FastAPI trong backend/app/api.py. Chuẩn hóa cặp tiền, trả dữ liệu thị trường, mô hình, dự đoán và dự báo.</w:t>
            </w:r>
          </w:p>
        </w:tc>
      </w:tr>
      <w:tr>
        <w:tc>
          <w:tcPr>
            <w:tcW w:type="dxa" w:w="1944"/>
            <w:vAlign w:val="center"/>
            <w:tcBorders>
              <w:top w:val="single" w:sz="4" w:color="D8DEE3"/>
              <w:left w:val="single" w:sz="4" w:color="D8DEE3"/>
              <w:bottom w:val="single" w:sz="4" w:color="D8DEE3"/>
              <w:right w:val="single" w:sz="4" w:color="D8DEE3"/>
            </w:tcBorders>
          </w:tcPr>
          <w:p>
            <w:pPr>
              <w:spacing w:after="0" w:line="259" w:lineRule="auto"/>
            </w:pPr>
            <w:r>
              <w:rPr>
                <w:sz w:val="17"/>
              </w:rPr>
              <w:t>Dữ liệu</w:t>
            </w:r>
          </w:p>
        </w:tc>
        <w:tc>
          <w:tcPr>
            <w:tcW w:type="dxa" w:w="7992"/>
            <w:vAlign w:val="center"/>
            <w:tcBorders>
              <w:top w:val="single" w:sz="4" w:color="D8DEE3"/>
              <w:left w:val="single" w:sz="4" w:color="D8DEE3"/>
              <w:bottom w:val="single" w:sz="4" w:color="D8DEE3"/>
              <w:right w:val="single" w:sz="4" w:color="D8DEE3"/>
            </w:tcBorders>
          </w:tcPr>
          <w:p>
            <w:pPr>
              <w:spacing w:after="0" w:line="259" w:lineRule="auto"/>
            </w:pPr>
            <w:r>
              <w:rPr>
                <w:sz w:val="17"/>
              </w:rPr>
              <w:t>Twelve Data time_series cung cấp nến ngày; price cung cấp giá live. Backend kiểm tra dữ liệu rồi lưu vào SQLite mặc định; Docker có thể dùng SQL Server.</w:t>
            </w:r>
          </w:p>
        </w:tc>
      </w:tr>
      <w:tr>
        <w:tc>
          <w:tcPr>
            <w:tcW w:type="dxa" w:w="194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Mô hình</w:t>
            </w:r>
          </w:p>
        </w:tc>
        <w:tc>
          <w:tcPr>
            <w:tcW w:type="dxa" w:w="799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Pandas và hmmlearn tạo đặc trưng, huấn luyện GaussianHMM 3 trạng thái; joblib lưu tệp mô hình, SHA-256 kiểm tra tính toàn vẹn.</w:t>
            </w:r>
          </w:p>
        </w:tc>
      </w:tr>
      <w:tr>
        <w:tc>
          <w:tcPr>
            <w:tcW w:type="dxa" w:w="1944"/>
            <w:vAlign w:val="center"/>
            <w:tcBorders>
              <w:top w:val="single" w:sz="4" w:color="D8DEE3"/>
              <w:left w:val="single" w:sz="4" w:color="D8DEE3"/>
              <w:bottom w:val="single" w:sz="4" w:color="D8DEE3"/>
              <w:right w:val="single" w:sz="4" w:color="D8DEE3"/>
            </w:tcBorders>
          </w:tcPr>
          <w:p>
            <w:pPr>
              <w:spacing w:after="0" w:line="259" w:lineRule="auto"/>
            </w:pPr>
            <w:r>
              <w:rPr>
                <w:sz w:val="17"/>
              </w:rPr>
              <w:t>Lịch nền</w:t>
            </w:r>
          </w:p>
        </w:tc>
        <w:tc>
          <w:tcPr>
            <w:tcW w:type="dxa" w:w="7992"/>
            <w:vAlign w:val="center"/>
            <w:tcBorders>
              <w:top w:val="single" w:sz="4" w:color="D8DEE3"/>
              <w:left w:val="single" w:sz="4" w:color="D8DEE3"/>
              <w:bottom w:val="single" w:sz="4" w:color="D8DEE3"/>
              <w:right w:val="single" w:sz="4" w:color="D8DEE3"/>
            </w:tcBorders>
          </w:tcPr>
          <w:p>
            <w:pPr>
              <w:spacing w:after="0" w:line="259" w:lineRule="auto"/>
            </w:pPr>
            <w:r>
              <w:rPr>
                <w:sz w:val="17"/>
              </w:rPr>
              <w:t>Một tác vụ FastAPI kiểm tra các cặp đã lưu mỗi ngày lúc 01:00 UTC; 30 nến gần nhất được dùng cho đồng bộ tăng dần.</w:t>
            </w:r>
          </w:p>
        </w:tc>
      </w:tr>
    </w:tbl>
    <w:p>
      <w:pPr>
        <w:spacing w:after="0"/>
      </w:pPr>
    </w:p>
    <w:p>
      <w:pPr>
        <w:spacing w:after="100"/>
      </w:pPr>
      <w:r>
        <w:t>Luồng chính: trình duyệt → FastAPI → SQLite và tệp mô hình → phản hồi JSON → biểu đồ. Chỉ backend liên hệ Twelve Data. npm run start dựng giao diện rồi khởi động Uvicorn; FastAPI phục vụ cả trang web lẫn API trên cùng địa chỉ.</w:t>
      </w:r>
    </w:p>
    <w:p>
      <w:pPr>
        <w:pStyle w:val="Heading1"/>
        <w:keepNext/>
      </w:pPr>
      <w:r>
        <w:t>3  Quy trình xử lý dữ liệu và làm mới</w:t>
      </w:r>
    </w:p>
    <w:p>
      <w:pPr>
        <w:pStyle w:val="Heading2"/>
        <w:keepNext/>
      </w:pPr>
      <w:r>
        <w:t>Từ tìm kiếm đến dự báo</w:t>
      </w:r>
    </w:p>
    <w:p>
      <w:pPr>
        <w:spacing w:after="100"/>
      </w:pPr>
      <w:r>
        <w:t>GET /api/search/{pair} gọi prepare_pair khi được bật. Backend tải tối đa 1500 nến cho cặp chưa đủ lịch sử; loại nến thuộc ngày UTC hiện tại, giá không hợp lệ hoặc OHLC không nhất quán; gộp các mốc thời gian trùng nhau trước khi lưu. Khóa duy nhất là (pair, timeframe, timestamp). Sau đó hệ thống lấy mô hình đã duyệt, tính xác suất trạng thái và mô phỏng đường giá. Nếu chưa có mô hình, một candidate được huấn luyện và tự duyệt với dấu auto_approved.</w:t>
      </w:r>
    </w:p>
    <w:p>
      <w:pPr>
        <w:pStyle w:val="Heading2"/>
        <w:keepNext/>
      </w:pPr>
      <w:r>
        <w:t>Hai nhịp cập nhật trên trình duyệt</w:t>
      </w:r>
    </w:p>
    <w:tbl>
      <w:tblPr>
        <w:tblW w:type="auto" w:w="0"/>
        <w:tblLayout w:type="fixed"/>
        <w:tblLook w:firstColumn="1" w:firstRow="1" w:lastColumn="0" w:lastRow="0" w:noHBand="0" w:noVBand="1" w:val="04A0"/>
      </w:tblPr>
      <w:tblGrid>
        <w:gridCol w:w="1944"/>
        <w:gridCol w:w="7992"/>
      </w:tblGrid>
      <w:tr>
        <w:tc>
          <w:tcPr>
            <w:tcW w:type="dxa" w:w="1944"/>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Nhịp</w:t>
            </w:r>
          </w:p>
        </w:tc>
        <w:tc>
          <w:tcPr>
            <w:tcW w:type="dxa" w:w="7992"/>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Cách hoạt động</w:t>
            </w:r>
          </w:p>
        </w:tc>
      </w:tr>
      <w:tr>
        <w:tc>
          <w:tcPr>
            <w:tcW w:type="dxa" w:w="1944"/>
            <w:vAlign w:val="center"/>
            <w:tcBorders>
              <w:top w:val="single" w:sz="4" w:color="D8DEE3"/>
              <w:left w:val="single" w:sz="4" w:color="D8DEE3"/>
              <w:bottom w:val="single" w:sz="4" w:color="D8DEE3"/>
              <w:right w:val="single" w:sz="4" w:color="D8DEE3"/>
            </w:tcBorders>
          </w:tcPr>
          <w:p>
            <w:pPr>
              <w:spacing w:after="0" w:line="259" w:lineRule="auto"/>
            </w:pPr>
            <w:r>
              <w:rPr>
                <w:sz w:val="17"/>
              </w:rPr>
              <w:t>60 giây</w:t>
            </w:r>
          </w:p>
        </w:tc>
        <w:tc>
          <w:tcPr>
            <w:tcW w:type="dxa" w:w="7992"/>
            <w:vAlign w:val="center"/>
            <w:tcBorders>
              <w:top w:val="single" w:sz="4" w:color="D8DEE3"/>
              <w:left w:val="single" w:sz="4" w:color="D8DEE3"/>
              <w:bottom w:val="single" w:sz="4" w:color="D8DEE3"/>
              <w:right w:val="single" w:sz="4" w:color="D8DEE3"/>
            </w:tcBorders>
          </w:tcPr>
          <w:p>
            <w:pPr>
              <w:spacing w:after="0" w:line="259" w:lineRule="auto"/>
            </w:pPr>
            <w:r>
              <w:rPr>
                <w:sz w:val="17"/>
              </w:rPr>
              <w:t>GET /api/live/{pair}; backend cache theo cặp 60 giây. Giá mới thay giá đóng của nến ngày hiện tại trên trình duyệt, hoặc thêm nến tạm nếu ngày đó chưa có trong cơ sở dữ liệu.</w:t>
            </w:r>
          </w:p>
        </w:tc>
      </w:tr>
      <w:tr>
        <w:tc>
          <w:tcPr>
            <w:tcW w:type="dxa" w:w="194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300 giây</w:t>
            </w:r>
          </w:p>
        </w:tc>
        <w:tc>
          <w:tcPr>
            <w:tcW w:type="dxa" w:w="799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GET /api/search/{pair}; cập nhật lịch sử, trạng thái HMM và đường dự báo. Chỉ gửi khi tab hiển thị; tab quay lại sẽ kiểm tra ngay nếu đã quá hạn.</w:t>
            </w:r>
          </w:p>
        </w:tc>
      </w:tr>
      <w:tr>
        <w:tc>
          <w:tcPr>
            <w:tcW w:type="dxa" w:w="1944"/>
            <w:vAlign w:val="center"/>
            <w:tcBorders>
              <w:top w:val="single" w:sz="4" w:color="D8DEE3"/>
              <w:left w:val="single" w:sz="4" w:color="D8DEE3"/>
              <w:bottom w:val="single" w:sz="4" w:color="D8DEE3"/>
              <w:right w:val="single" w:sz="4" w:color="D8DEE3"/>
            </w:tcBorders>
          </w:tcPr>
          <w:p>
            <w:pPr>
              <w:spacing w:after="0" w:line="259" w:lineRule="auto"/>
            </w:pPr>
            <w:r>
              <w:rPr>
                <w:sz w:val="17"/>
              </w:rPr>
              <w:t>Khi lỗi hoặc đổi cặp</w:t>
            </w:r>
          </w:p>
        </w:tc>
        <w:tc>
          <w:tcPr>
            <w:tcW w:type="dxa" w:w="7992"/>
            <w:vAlign w:val="center"/>
            <w:tcBorders>
              <w:top w:val="single" w:sz="4" w:color="D8DEE3"/>
              <w:left w:val="single" w:sz="4" w:color="D8DEE3"/>
              <w:bottom w:val="single" w:sz="4" w:color="D8DEE3"/>
              <w:right w:val="single" w:sz="4" w:color="D8DEE3"/>
            </w:tcBorders>
          </w:tcPr>
          <w:p>
            <w:pPr>
              <w:spacing w:after="0" w:line="259" w:lineRule="auto"/>
            </w:pPr>
            <w:r>
              <w:rPr>
                <w:sz w:val="17"/>
              </w:rPr>
              <w:t>Yêu cầu không chồng nhau; yêu cầu cũ bị hủy khi đổi cặp. Lỗi làm mới giữ nguyên biểu đồ thành công gần nhất và hiển thị thông báo.</w:t>
            </w:r>
          </w:p>
        </w:tc>
      </w:tr>
    </w:tbl>
    <w:p>
      <w:pPr>
        <w:spacing w:after="0"/>
      </w:pPr>
    </w:p>
    <w:p>
      <w:pPr>
        <w:spacing w:after="100"/>
      </w:pPr>
      <w:r>
        <w:t>VITE_CHART_REFRESH_SECONDS trong .env đổi nhịp làm mới toàn bộ, tối thiểu 60 giây; cần chạy lại npm run start để Vite dựng lại giao diện. Sau lần tải lịch sử đầu, một cặp đã có ít nhất 260 nến chỉ đồng bộ 30 nến gần đây khi dữ liệu cũ và tối đa một lần thử mỗi giờ. Nến hoàn tất thường chỉ đổi mỗi ngày giao dịch; việc làm mới 5 phút không đồng nghĩa huấn luyện lại mô hình.</w:t>
      </w:r>
    </w:p>
    <w:p>
      <w:pPr>
        <w:pStyle w:val="Heading1"/>
        <w:keepNext/>
      </w:pPr>
      <w:r>
        <w:t>4  Đặc trưng đầu vào và công thức HMM</w:t>
      </w:r>
    </w:p>
    <w:p>
      <w:pPr>
        <w:spacing w:after="100"/>
      </w:pPr>
      <w:r>
        <w:t>Với O, H, L, C lần lượt là giá mở, cao, thấp và đóng của phiên t, mã nguồn backend/app/services/features.py tạo bốn đặc trưng theo thời gian, chỉ dùng thông tin đã có đến phiên t.</w:t>
      </w:r>
    </w:p>
    <w:tbl>
      <w:tblPr>
        <w:tblW w:type="auto" w:w="0"/>
        <w:tblLayout w:type="fixed"/>
        <w:tblLook w:firstColumn="1" w:firstRow="1" w:lastColumn="0" w:lastRow="0" w:noHBand="0" w:noVBand="1" w:val="04A0"/>
      </w:tblPr>
      <w:tblGrid>
        <w:gridCol w:w="2664"/>
        <w:gridCol w:w="7272"/>
      </w:tblGrid>
      <w:tr>
        <w:tc>
          <w:tcPr>
            <w:tcW w:type="dxa" w:w="2664"/>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Đặc trưng</w:t>
            </w:r>
          </w:p>
        </w:tc>
        <w:tc>
          <w:tcPr>
            <w:tcW w:type="dxa" w:w="7272"/>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Công thức đúng với mã nguồn</w:t>
            </w:r>
          </w:p>
        </w:tc>
      </w:tr>
      <w:tr>
        <w:tc>
          <w:tcPr>
            <w:tcW w:type="dxa" w:w="2664"/>
            <w:vAlign w:val="center"/>
            <w:tcBorders>
              <w:top w:val="single" w:sz="4" w:color="D8DEE3"/>
              <w:left w:val="single" w:sz="4" w:color="D8DEE3"/>
              <w:bottom w:val="single" w:sz="4" w:color="D8DEE3"/>
              <w:right w:val="single" w:sz="4" w:color="D8DEE3"/>
            </w:tcBorders>
          </w:tcPr>
          <w:p>
            <w:pPr>
              <w:spacing w:after="0" w:line="259" w:lineRule="auto"/>
            </w:pPr>
            <w:r>
              <w:rPr>
                <w:sz w:val="17"/>
              </w:rPr>
              <w:t>Log return</w:t>
            </w:r>
          </w:p>
        </w:tc>
        <w:tc>
          <w:tcPr>
            <w:tcW w:type="dxa" w:w="7272"/>
            <w:vAlign w:val="center"/>
            <w:tcBorders>
              <w:top w:val="single" w:sz="4" w:color="D8DEE3"/>
              <w:left w:val="single" w:sz="4" w:color="D8DEE3"/>
              <w:bottom w:val="single" w:sz="4" w:color="D8DEE3"/>
              <w:right w:val="single" w:sz="4" w:color="D8DEE3"/>
            </w:tcBorders>
          </w:tcPr>
          <w:p>
            <w:pPr>
              <w:spacing w:after="0" w:line="259" w:lineRule="auto"/>
            </w:pPr>
            <w:r>
              <w:rPr>
                <w:sz w:val="17"/>
              </w:rPr>
              <w:t>rₜ = ln(Cₜ / Cₜ₋₁)</w:t>
            </w:r>
          </w:p>
        </w:tc>
      </w:tr>
      <w:tr>
        <w:tc>
          <w:tcPr>
            <w:tcW w:type="dxa" w:w="266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Biến động trong nến</w:t>
            </w:r>
          </w:p>
        </w:tc>
        <w:tc>
          <w:tcPr>
            <w:tcW w:type="dxa" w:w="727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bₜ = ln(Cₜ / Oₜ)</w:t>
            </w:r>
          </w:p>
        </w:tc>
      </w:tr>
      <w:tr>
        <w:tc>
          <w:tcPr>
            <w:tcW w:type="dxa" w:w="2664"/>
            <w:vAlign w:val="center"/>
            <w:tcBorders>
              <w:top w:val="single" w:sz="4" w:color="D8DEE3"/>
              <w:left w:val="single" w:sz="4" w:color="D8DEE3"/>
              <w:bottom w:val="single" w:sz="4" w:color="D8DEE3"/>
              <w:right w:val="single" w:sz="4" w:color="D8DEE3"/>
            </w:tcBorders>
          </w:tcPr>
          <w:p>
            <w:pPr>
              <w:spacing w:after="0" w:line="259" w:lineRule="auto"/>
            </w:pPr>
            <w:r>
              <w:rPr>
                <w:sz w:val="17"/>
              </w:rPr>
              <w:t>Biên độ ngày</w:t>
            </w:r>
          </w:p>
        </w:tc>
        <w:tc>
          <w:tcPr>
            <w:tcW w:type="dxa" w:w="7272"/>
            <w:vAlign w:val="center"/>
            <w:tcBorders>
              <w:top w:val="single" w:sz="4" w:color="D8DEE3"/>
              <w:left w:val="single" w:sz="4" w:color="D8DEE3"/>
              <w:bottom w:val="single" w:sz="4" w:color="D8DEE3"/>
              <w:right w:val="single" w:sz="4" w:color="D8DEE3"/>
            </w:tcBorders>
          </w:tcPr>
          <w:p>
            <w:pPr>
              <w:spacing w:after="0" w:line="259" w:lineRule="auto"/>
            </w:pPr>
            <w:r>
              <w:rPr>
                <w:sz w:val="17"/>
              </w:rPr>
              <w:t>dₜ = (Hₜ − Lₜ) / Cₜ</w:t>
            </w:r>
          </w:p>
        </w:tc>
      </w:tr>
      <w:tr>
        <w:tc>
          <w:tcPr>
            <w:tcW w:type="dxa" w:w="266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Biến động 20 phiên</w:t>
            </w:r>
          </w:p>
        </w:tc>
        <w:tc>
          <w:tcPr>
            <w:tcW w:type="dxa" w:w="727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vₜ = std(rₜ₋₁₉, …, rₜ); độ lệch chuẩn mẫu của pandas, cần đủ 20 lợi suất.</w:t>
            </w:r>
          </w:p>
        </w:tc>
      </w:tr>
    </w:tbl>
    <w:p>
      <w:pPr>
        <w:spacing w:after="0"/>
      </w:pPr>
    </w:p>
    <w:p>
      <w:pPr>
        <w:spacing w:after="100"/>
      </w:pPr>
      <w:r>
        <w:t>Các hàng đầu chưa đủ cửa sổ và giá trị vô hạn bị loại. Dữ liệu còn lại chia 80% đầu để huấn luyện và 20% cuối để thẩm định theo thời gian. Mỗi đặc trưng được chuẩn hóa zₜ = (xₜ − μ_train) / σ_train; μ và σ chỉ tính trên phần train, σ bằng 0 được thay bằng 1. Vì vậy phần validation không rò rỉ thống kê tương lai vào quá trình huấn luyện.</w:t>
      </w:r>
    </w:p>
    <w:p>
      <w:pPr>
        <w:spacing w:after="100"/>
      </w:pPr>
      <w:r>
        <w:t>GaussianHMM giả định trạng thái ẩn Sₜ thuộc ba trạng thái, ma trận chuyển Aᵢⱼ = P(Sₜ = j | Sₜ₋₁ = i), và đặc trưng chuẩn hóa Xₜ | Sₜ = i có phân phối chuẩn đa biến N(μᵢ, diag(σᵢ²)). hmmlearn tối ưu tham số với tối đa 300 vòng lặp, seed 42 và min_covar = 10⁻⁴. Ba trạng thái được đặt tên Bear, Sideways, Bull theo thứ tự lợi suất log trung bình trên phần train, không theo số ID tùy ý của HMM.</w:t>
      </w:r>
    </w:p>
    <w:p>
      <w:pPr>
        <w:spacing w:after="100"/>
      </w:pPr>
      <w:r>
        <w:t>Điểm đánh giá hiện là log-likelihood của chuỗi validation. Đây là phép kiểm tra mức phù hợp xác suất, chưa phải thước đo lợi nhuận hay độ chính xác giao dịch. Cơ chế tự duyệt chỉ yêu cầu huấn luyện thành công, chưa áp dụng ngưỡng chất lượng bắt buộc.</w:t>
      </w:r>
    </w:p>
    <w:p>
      <w:pPr>
        <w:pStyle w:val="Heading1"/>
        <w:keepNext/>
      </w:pPr>
      <w:r>
        <w:t>5  Xác suất và công thức đường dự báo</w:t>
      </w:r>
    </w:p>
    <w:p>
      <w:pPr>
        <w:spacing w:after="100"/>
      </w:pPr>
      <w:r>
        <w:t>Tại nến cuối, mô hình trả xác suất trạng thái hiện tại γₜ(i) = P(Sₜ = i | X₁:ₜ). Phân phối cho phiên sau được tính qₜ₊₁ = γₜ A. API gửi riêng current_probabilities và next_state_probabilities. Nhãn Bull tạo tín hiệu BUY, Bear tạo SELL, Sideways tạo HOLD; đây là quy tắc hiển thị theo trạng thái, không phải lệnh tự động.</w:t>
      </w:r>
    </w:p>
    <w:p>
      <w:pPr>
        <w:spacing w:after="100"/>
      </w:pPr>
      <w:r>
        <w:t>Dự báo 30 phiên chạy 600 đường Monte Carlo với seed 7. Mỗi đường bắt đầu từ giá đóng cuối Cₜ, lấy mẫu trạng thái đầu theo γₜ, rồi ở từng phiên lấy trạng thái mới theo A và lấy log-return chuẩn hóa từ Gaussian của trạng thái đó. Hoàn nguyên rₜ₊ₖ = μ_train,r + σ_train,r zₜ₊ₖ và cộng dồn theo Pₜ₊ₖ = Pₜ₊ₖ₋₁ · exp(rₜ₊ₖ). Giá trị expected trong API là trung vị của 600 giá, không phải trung bình toán học; lower và upper là phân vị 10% và 90%. expected_return = median(Pₜ₊₃₀) / Cₜ − 1.</w:t>
      </w:r>
    </w:p>
    <w:p>
      <w:pPr>
        <w:spacing w:after="100"/>
      </w:pPr>
      <w:r>
        <w:t>Các mốc dự báo dùng ngày làm việc từ pandas BDay: bỏ thứ Bảy và Chủ nhật, chưa xét lịch nghỉ riêng của từng thị trường. Giá live chỉ phủ biểu đồ giá; nó không được ghi vào OHLC đã hoàn tất và không làm HMM học lại trong ngày.</w:t>
      </w:r>
    </w:p>
    <w:p>
      <w:pPr>
        <w:pStyle w:val="Heading1"/>
        <w:keepNext/>
      </w:pPr>
      <w:r>
        <w:t>6  Dữ liệu lưu trữ và vận hành</w:t>
      </w:r>
    </w:p>
    <w:tbl>
      <w:tblPr>
        <w:tblW w:type="auto" w:w="0"/>
        <w:tblLayout w:type="fixed"/>
        <w:tblLook w:firstColumn="1" w:firstRow="1" w:lastColumn="0" w:lastRow="0" w:noHBand="0" w:noVBand="1" w:val="04A0"/>
      </w:tblPr>
      <w:tblGrid>
        <w:gridCol w:w="2232"/>
        <w:gridCol w:w="7704"/>
      </w:tblGrid>
      <w:tr>
        <w:tc>
          <w:tcPr>
            <w:tcW w:type="dxa" w:w="2232"/>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Đối tượng</w:t>
            </w:r>
          </w:p>
        </w:tc>
        <w:tc>
          <w:tcPr>
            <w:tcW w:type="dxa" w:w="7704"/>
            <w:vAlign w:val="center"/>
            <w:shd w:fill="21384B"/>
            <w:tcBorders>
              <w:top w:val="single" w:sz="4" w:color="D8DEE3"/>
              <w:left w:val="single" w:sz="4" w:color="D8DEE3"/>
              <w:bottom w:val="single" w:sz="4" w:color="D8DEE3"/>
              <w:right w:val="single" w:sz="4" w:color="D8DEE3"/>
            </w:tcBorders>
          </w:tcPr>
          <w:p>
            <w:pPr>
              <w:spacing w:after="0"/>
            </w:pPr>
            <w:r>
              <w:rPr>
                <w:b/>
                <w:color w:val="FFFFFF"/>
                <w:sz w:val="17"/>
              </w:rPr>
              <w:t>Nội dung</w:t>
            </w:r>
          </w:p>
        </w:tc>
      </w:tr>
      <w:tr>
        <w:tc>
          <w:tcPr>
            <w:tcW w:type="dxa" w:w="2232"/>
            <w:vAlign w:val="center"/>
            <w:tcBorders>
              <w:top w:val="single" w:sz="4" w:color="D8DEE3"/>
              <w:left w:val="single" w:sz="4" w:color="D8DEE3"/>
              <w:bottom w:val="single" w:sz="4" w:color="D8DEE3"/>
              <w:right w:val="single" w:sz="4" w:color="D8DEE3"/>
            </w:tcBorders>
          </w:tcPr>
          <w:p>
            <w:pPr>
              <w:spacing w:after="0" w:line="259" w:lineRule="auto"/>
            </w:pPr>
            <w:r>
              <w:rPr>
                <w:sz w:val="17"/>
              </w:rPr>
              <w:t>forex_ohlc</w:t>
            </w:r>
          </w:p>
        </w:tc>
        <w:tc>
          <w:tcPr>
            <w:tcW w:type="dxa" w:w="7704"/>
            <w:vAlign w:val="center"/>
            <w:tcBorders>
              <w:top w:val="single" w:sz="4" w:color="D8DEE3"/>
              <w:left w:val="single" w:sz="4" w:color="D8DEE3"/>
              <w:bottom w:val="single" w:sz="4" w:color="D8DEE3"/>
              <w:right w:val="single" w:sz="4" w:color="D8DEE3"/>
            </w:tcBorders>
          </w:tcPr>
          <w:p>
            <w:pPr>
              <w:spacing w:after="0" w:line="259" w:lineRule="auto"/>
            </w:pPr>
            <w:r>
              <w:rPr>
                <w:sz w:val="17"/>
              </w:rPr>
              <w:t>Nến OHLC đã kiểm tra, một hàng cho mỗi cặp, khung thời gian và mốc UTC.</w:t>
            </w:r>
          </w:p>
        </w:tc>
      </w:tr>
      <w:tr>
        <w:tc>
          <w:tcPr>
            <w:tcW w:type="dxa" w:w="223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data_sync_runs</w:t>
            </w:r>
          </w:p>
        </w:tc>
        <w:tc>
          <w:tcPr>
            <w:tcW w:type="dxa" w:w="770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Mỗi lần đồng bộ: bắt đầu, kết thúc, trạng thái, số hàng thêm hoặc cập nhật và lỗi.</w:t>
            </w:r>
          </w:p>
        </w:tc>
      </w:tr>
      <w:tr>
        <w:tc>
          <w:tcPr>
            <w:tcW w:type="dxa" w:w="2232"/>
            <w:vAlign w:val="center"/>
            <w:tcBorders>
              <w:top w:val="single" w:sz="4" w:color="D8DEE3"/>
              <w:left w:val="single" w:sz="4" w:color="D8DEE3"/>
              <w:bottom w:val="single" w:sz="4" w:color="D8DEE3"/>
              <w:right w:val="single" w:sz="4" w:color="D8DEE3"/>
            </w:tcBorders>
          </w:tcPr>
          <w:p>
            <w:pPr>
              <w:spacing w:after="0" w:line="259" w:lineRule="auto"/>
            </w:pPr>
            <w:r>
              <w:rPr>
                <w:sz w:val="17"/>
              </w:rPr>
              <w:t>hmm_models</w:t>
            </w:r>
          </w:p>
        </w:tc>
        <w:tc>
          <w:tcPr>
            <w:tcW w:type="dxa" w:w="7704"/>
            <w:vAlign w:val="center"/>
            <w:tcBorders>
              <w:top w:val="single" w:sz="4" w:color="D8DEE3"/>
              <w:left w:val="single" w:sz="4" w:color="D8DEE3"/>
              <w:bottom w:val="single" w:sz="4" w:color="D8DEE3"/>
              <w:right w:val="single" w:sz="4" w:color="D8DEE3"/>
            </w:tcBorders>
          </w:tcPr>
          <w:p>
            <w:pPr>
              <w:spacing w:after="0" w:line="259" w:lineRule="auto"/>
            </w:pPr>
            <w:r>
              <w:rPr>
                <w:sz w:val="17"/>
              </w:rPr>
              <w:t>Phiên bản mô hình, trạng thái candidate/approved, cửa sổ train, điểm validation, đường dẫn artifact và hash.</w:t>
            </w:r>
          </w:p>
        </w:tc>
      </w:tr>
      <w:tr>
        <w:tc>
          <w:tcPr>
            <w:tcW w:type="dxa" w:w="2232"/>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predictions</w:t>
            </w:r>
          </w:p>
        </w:tc>
        <w:tc>
          <w:tcPr>
            <w:tcW w:type="dxa" w:w="7704"/>
            <w:vAlign w:val="center"/>
            <w:tcBorders>
              <w:top w:val="single" w:sz="4" w:color="D8DEE3"/>
              <w:left w:val="single" w:sz="4" w:color="D8DEE3"/>
              <w:bottom w:val="single" w:sz="4" w:color="D8DEE3"/>
              <w:right w:val="single" w:sz="4" w:color="D8DEE3"/>
            </w:tcBorders>
            <w:shd w:fill="F3F6F8"/>
          </w:tcPr>
          <w:p>
            <w:pPr>
              <w:spacing w:after="0" w:line="259" w:lineRule="auto"/>
            </w:pPr>
            <w:r>
              <w:rPr>
                <w:sz w:val="17"/>
              </w:rPr>
              <w:t>Bản ghi dự đoán được tạo qua API quản trị; lệnh GET thông thường chỉ tính để trả về.</w:t>
            </w:r>
          </w:p>
        </w:tc>
      </w:tr>
    </w:tbl>
    <w:p>
      <w:pPr>
        <w:spacing w:after="0"/>
      </w:pPr>
    </w:p>
    <w:p>
      <w:pPr>
        <w:spacing w:after="100"/>
      </w:pPr>
      <w:r>
        <w:t>Khóa TWELVE_DATA_API_KEY nằm trong .env ở thư mục gốc và chỉ được backend đọc. Các API quản trị dùng X-Admin-Key. Avatar trên giao diện không đại diện cho một hệ thống tài khoản; website hiện chưa có đăng nhập hay gửi lệnh. Dữ liệu, phiên bản mô hình và dự báo là công cụ phân tích phục vụ nghiên cứu.</w:t>
      </w:r>
    </w:p>
    <w:p>
      <w:pPr>
        <w:pStyle w:val="Heading1"/>
        <w:keepNext/>
      </w:pPr>
      <w:r>
        <w:t>7  Kết quả kiểm tra và giới hạn</w:t>
      </w:r>
    </w:p>
    <w:p>
      <w:pPr>
        <w:pStyle w:val="ListBullet"/>
        <w:spacing w:after="40"/>
      </w:pPr>
      <w:r>
        <w:t>Bản dựng npm run build thành công; bài kiểm tra tích hợp offline xác minh trùng ngày không tạo bản ghi kép, chuỗi xác suất cộng về 1, 30 điểm dự báo dương và lần đồng bộ lặp không thêm nến.</w:t>
      </w:r>
    </w:p>
    <w:p>
      <w:pPr>
        <w:pStyle w:val="ListBullet"/>
        <w:spacing w:after="40"/>
      </w:pPr>
      <w:r>
        <w:t>Kiểm tra trên dữ liệu Twelve Data thật trước đó: EUR/USD lưu 1498 nến ngày duy nhất, mô hình được duyệt và API trả 30 điểm dự báo. Thử nghiệm giao diện với chu kỳ rút ngắn 60 giây xác nhận lịch làm mới tự động.</w:t>
      </w:r>
    </w:p>
    <w:p>
      <w:pPr>
        <w:pStyle w:val="ListBullet"/>
        <w:spacing w:after="40"/>
      </w:pPr>
      <w:r>
        <w:t>Hạn chế: một lần chia 80/20, chưa có walk-forward, chưa đo độ ổn định trạng thái hay hiệu quả giao dịch; lịch tương lai chưa loại ngày nghỉ thị trường. Giá cao/thấp của nến live trên trình duyệt chỉ tổng hợp từ các mẫu giá nhận được trong phiên xem trang.</w:t>
      </w:r>
    </w:p>
    <w:sectPr w:rsidR="00FC693F" w:rsidRPr="0006063C" w:rsidSect="00034616">
      <w:footerReference w:type="default" r:id="rId9"/>
      <w:pgSz w:w="12240" w:h="15840"/>
      <w:pgMar w:top="950" w:right="1080" w:bottom="922"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E78"/>
        <w:sz w:val="16"/>
      </w:rPr>
      <w:t xml:space="preserve">markovfx  •  Báo cáo kỹ thuật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00"/>
    </w:pPr>
    <w:rPr>
      <w:rFonts w:ascii="Arial" w:hAnsi="Arial"/>
      <w:color w:val="1923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và vận hành website dự báo Forex</dc:title>
  <dc:subject>Kiến trúc, quy trình cập nhật và công thức Hidden Markov Model</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