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3E" w:rsidRDefault="00CA2BC7">
      <w:pPr>
        <w:rPr>
          <w:b/>
        </w:rPr>
      </w:pPr>
      <w:r>
        <w:rPr>
          <w:b/>
        </w:rPr>
        <w:t xml:space="preserve">SBC2023 – </w:t>
      </w:r>
      <w:r w:rsidR="00EB046C">
        <w:rPr>
          <w:b/>
        </w:rPr>
        <w:t xml:space="preserve">Serial data and </w:t>
      </w:r>
      <w:r>
        <w:rPr>
          <w:b/>
        </w:rPr>
        <w:t xml:space="preserve">IR remote control </w:t>
      </w:r>
      <w:r w:rsidR="00EB046C">
        <w:rPr>
          <w:b/>
        </w:rPr>
        <w:t>c</w:t>
      </w:r>
      <w:r>
        <w:rPr>
          <w:b/>
        </w:rPr>
        <w:t>odes</w:t>
      </w:r>
    </w:p>
    <w:p w:rsidR="006B0E3E" w:rsidRDefault="006B0E3E"/>
    <w:tbl>
      <w:tblPr>
        <w:tblStyle w:val="a"/>
        <w:tblW w:w="9877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778"/>
        <w:gridCol w:w="2307"/>
        <w:gridCol w:w="2043"/>
        <w:gridCol w:w="1749"/>
      </w:tblGrid>
      <w:tr w:rsidR="006B0E3E">
        <w:tc>
          <w:tcPr>
            <w:tcW w:w="3779" w:type="dxa"/>
          </w:tcPr>
          <w:p w:rsidR="006B0E3E" w:rsidRDefault="00CA2BC7">
            <w:pPr>
              <w:ind w:left="360"/>
              <w:jc w:val="center"/>
              <w:rPr>
                <w:b/>
              </w:rPr>
            </w:pPr>
            <w:r>
              <w:rPr>
                <w:b/>
              </w:rPr>
              <w:t>Motion</w:t>
            </w:r>
          </w:p>
        </w:tc>
        <w:tc>
          <w:tcPr>
            <w:tcW w:w="2307" w:type="dxa"/>
          </w:tcPr>
          <w:p w:rsidR="006B0E3E" w:rsidRDefault="00CA2BC7">
            <w:pPr>
              <w:jc w:val="center"/>
              <w:rPr>
                <w:b/>
              </w:rPr>
            </w:pPr>
            <w:r>
              <w:rPr>
                <w:b/>
              </w:rPr>
              <w:t>System Code</w:t>
            </w:r>
          </w:p>
        </w:tc>
        <w:tc>
          <w:tcPr>
            <w:tcW w:w="3792" w:type="dxa"/>
            <w:gridSpan w:val="2"/>
          </w:tcPr>
          <w:p w:rsidR="006B0E3E" w:rsidRDefault="00CA2BC7">
            <w:pPr>
              <w:jc w:val="center"/>
              <w:rPr>
                <w:b/>
              </w:rPr>
            </w:pPr>
            <w:r>
              <w:rPr>
                <w:b/>
              </w:rPr>
              <w:t>Command Code</w:t>
            </w:r>
          </w:p>
        </w:tc>
      </w:tr>
      <w:tr w:rsidR="006B0E3E">
        <w:tc>
          <w:tcPr>
            <w:tcW w:w="9878" w:type="dxa"/>
            <w:gridSpan w:val="4"/>
          </w:tcPr>
          <w:p w:rsidR="006B0E3E" w:rsidRDefault="00CA2BC7">
            <w:pPr>
              <w:ind w:left="36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Continuous motion while IR is received plus preset run-on </w:t>
            </w:r>
            <w:r>
              <w:t>(note 1)</w:t>
            </w:r>
          </w:p>
        </w:tc>
      </w:tr>
      <w:tr w:rsidR="006B0E3E">
        <w:tc>
          <w:tcPr>
            <w:tcW w:w="3779" w:type="dxa"/>
          </w:tcPr>
          <w:p w:rsidR="006B0E3E" w:rsidRDefault="006B0E3E">
            <w:pPr>
              <w:ind w:left="360"/>
            </w:pPr>
          </w:p>
        </w:tc>
        <w:tc>
          <w:tcPr>
            <w:tcW w:w="2307" w:type="dxa"/>
            <w:vAlign w:val="center"/>
          </w:tcPr>
          <w:p w:rsidR="006B0E3E" w:rsidRDefault="006B0E3E">
            <w:pPr>
              <w:ind w:left="360"/>
            </w:pP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Hexadecimal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Decimal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Head/Backrest up</w:t>
            </w:r>
          </w:p>
        </w:tc>
        <w:tc>
          <w:tcPr>
            <w:tcW w:w="2307" w:type="dxa"/>
            <w:vMerge w:val="restart"/>
            <w:vAlign w:val="center"/>
          </w:tcPr>
          <w:p w:rsidR="006B0E3E" w:rsidRDefault="00CA2BC7">
            <w:pPr>
              <w:ind w:left="360"/>
            </w:pPr>
            <w:r>
              <w:t>30 (decimal)</w:t>
            </w:r>
          </w:p>
          <w:p w:rsidR="006B0E3E" w:rsidRDefault="00CA2BC7" w:rsidP="00EB046C">
            <w:pPr>
              <w:ind w:left="360"/>
            </w:pPr>
            <w:r>
              <w:t xml:space="preserve">Reserved </w:t>
            </w:r>
            <w:r w:rsidR="00EB046C">
              <w:t>NEC</w:t>
            </w:r>
            <w:r>
              <w:t xml:space="preserve"> system number, unlikely to be used by available entertainment equipment.</w:t>
            </w: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0x01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1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Head/Backrest Down</w:t>
            </w:r>
          </w:p>
        </w:tc>
        <w:tc>
          <w:tcPr>
            <w:tcW w:w="2307" w:type="dxa"/>
            <w:vMerge/>
            <w:vAlign w:val="center"/>
          </w:tcPr>
          <w:p w:rsidR="006B0E3E" w:rsidRDefault="006B0E3E">
            <w:pPr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0x02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2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Leg/Foot up</w:t>
            </w:r>
          </w:p>
        </w:tc>
        <w:tc>
          <w:tcPr>
            <w:tcW w:w="2307" w:type="dxa"/>
            <w:vMerge/>
            <w:vAlign w:val="center"/>
          </w:tcPr>
          <w:p w:rsidR="006B0E3E" w:rsidRDefault="006B0E3E">
            <w:pPr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0x03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3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Leg/Foot down</w:t>
            </w:r>
          </w:p>
        </w:tc>
        <w:tc>
          <w:tcPr>
            <w:tcW w:w="2307" w:type="dxa"/>
            <w:vMerge/>
            <w:vAlign w:val="center"/>
          </w:tcPr>
          <w:p w:rsidR="006B0E3E" w:rsidRDefault="006B0E3E">
            <w:pPr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0x04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4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Bed Up</w:t>
            </w:r>
          </w:p>
        </w:tc>
        <w:tc>
          <w:tcPr>
            <w:tcW w:w="2307" w:type="dxa"/>
            <w:vMerge/>
            <w:vAlign w:val="center"/>
          </w:tcPr>
          <w:p w:rsidR="006B0E3E" w:rsidRDefault="006B0E3E">
            <w:pPr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0x05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5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Bed Down</w:t>
            </w:r>
          </w:p>
        </w:tc>
        <w:tc>
          <w:tcPr>
            <w:tcW w:w="2307" w:type="dxa"/>
            <w:vMerge/>
            <w:vAlign w:val="center"/>
          </w:tcPr>
          <w:p w:rsidR="006B0E3E" w:rsidRDefault="006B0E3E">
            <w:pPr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0x06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6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Tilt/</w:t>
            </w:r>
            <w:proofErr w:type="spellStart"/>
            <w:r>
              <w:t>Trandellenburg</w:t>
            </w:r>
            <w:proofErr w:type="spellEnd"/>
            <w:r>
              <w:t xml:space="preserve"> up</w:t>
            </w:r>
          </w:p>
        </w:tc>
        <w:tc>
          <w:tcPr>
            <w:tcW w:w="2307" w:type="dxa"/>
            <w:vMerge/>
            <w:vAlign w:val="center"/>
          </w:tcPr>
          <w:p w:rsidR="006B0E3E" w:rsidRDefault="006B0E3E">
            <w:pPr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0x07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7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Tilt/</w:t>
            </w:r>
            <w:proofErr w:type="spellStart"/>
            <w:r>
              <w:t>Trandellemburg</w:t>
            </w:r>
            <w:proofErr w:type="spellEnd"/>
            <w:r>
              <w:t xml:space="preserve"> down</w:t>
            </w:r>
          </w:p>
        </w:tc>
        <w:tc>
          <w:tcPr>
            <w:tcW w:w="2307" w:type="dxa"/>
            <w:vMerge/>
            <w:vAlign w:val="center"/>
          </w:tcPr>
          <w:p w:rsidR="006B0E3E" w:rsidRDefault="006B0E3E">
            <w:pPr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0x08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8</w:t>
            </w:r>
          </w:p>
        </w:tc>
      </w:tr>
      <w:tr w:rsidR="006B0E3E">
        <w:tc>
          <w:tcPr>
            <w:tcW w:w="9878" w:type="dxa"/>
            <w:gridSpan w:val="4"/>
          </w:tcPr>
          <w:p w:rsidR="006B0E3E" w:rsidRDefault="00CA2BC7">
            <w:pPr>
              <w:ind w:left="360"/>
              <w:jc w:val="center"/>
            </w:pPr>
            <w:r>
              <w:rPr>
                <w:b/>
                <w:i/>
              </w:rPr>
              <w:t>Go to Preset positions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Preset 1</w:t>
            </w:r>
          </w:p>
        </w:tc>
        <w:tc>
          <w:tcPr>
            <w:tcW w:w="2307" w:type="dxa"/>
            <w:vMerge w:val="restart"/>
            <w:vAlign w:val="center"/>
          </w:tcPr>
          <w:p w:rsidR="006B0E3E" w:rsidRDefault="00CA2BC7">
            <w:pPr>
              <w:ind w:left="360"/>
            </w:pPr>
            <w:r>
              <w:t>30</w:t>
            </w: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0x11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17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Preset 2</w:t>
            </w:r>
          </w:p>
        </w:tc>
        <w:tc>
          <w:tcPr>
            <w:tcW w:w="2307" w:type="dxa"/>
            <w:vMerge/>
            <w:vAlign w:val="center"/>
          </w:tcPr>
          <w:p w:rsidR="006B0E3E" w:rsidRDefault="006B0E3E">
            <w:pPr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0x12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18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Preset 3</w:t>
            </w:r>
          </w:p>
        </w:tc>
        <w:tc>
          <w:tcPr>
            <w:tcW w:w="2307" w:type="dxa"/>
            <w:vMerge/>
            <w:vAlign w:val="center"/>
          </w:tcPr>
          <w:p w:rsidR="006B0E3E" w:rsidRDefault="006B0E3E">
            <w:pPr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0x13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19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Preset 4</w:t>
            </w:r>
          </w:p>
        </w:tc>
        <w:tc>
          <w:tcPr>
            <w:tcW w:w="2307" w:type="dxa"/>
            <w:vMerge/>
            <w:vAlign w:val="center"/>
          </w:tcPr>
          <w:p w:rsidR="006B0E3E" w:rsidRDefault="006B0E3E">
            <w:pPr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0x14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20</w:t>
            </w:r>
          </w:p>
        </w:tc>
      </w:tr>
    </w:tbl>
    <w:p w:rsidR="006B0E3E" w:rsidRDefault="006B0E3E"/>
    <w:tbl>
      <w:tblPr>
        <w:tblStyle w:val="a0"/>
        <w:tblW w:w="9877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778"/>
        <w:gridCol w:w="2307"/>
        <w:gridCol w:w="2043"/>
        <w:gridCol w:w="1749"/>
      </w:tblGrid>
      <w:tr w:rsidR="006B0E3E">
        <w:tc>
          <w:tcPr>
            <w:tcW w:w="9878" w:type="dxa"/>
            <w:gridSpan w:val="4"/>
          </w:tcPr>
          <w:p w:rsidR="006B0E3E" w:rsidRDefault="00CA2BC7">
            <w:pPr>
              <w:ind w:left="360"/>
              <w:jc w:val="center"/>
            </w:pPr>
            <w:r>
              <w:rPr>
                <w:b/>
                <w:i/>
              </w:rPr>
              <w:t xml:space="preserve">Programming instructions </w:t>
            </w:r>
            <w:r>
              <w:t>(note 2)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Learn Preset 1</w:t>
            </w:r>
          </w:p>
        </w:tc>
        <w:tc>
          <w:tcPr>
            <w:tcW w:w="2307" w:type="dxa"/>
            <w:vMerge w:val="restart"/>
            <w:vAlign w:val="center"/>
          </w:tcPr>
          <w:p w:rsidR="006B0E3E" w:rsidRDefault="00CA2BC7">
            <w:pPr>
              <w:ind w:left="360"/>
            </w:pPr>
            <w:r>
              <w:t>33</w:t>
            </w: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0x11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17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Learn Preset 2</w:t>
            </w:r>
          </w:p>
        </w:tc>
        <w:tc>
          <w:tcPr>
            <w:tcW w:w="2307" w:type="dxa"/>
            <w:vMerge/>
            <w:vAlign w:val="center"/>
          </w:tcPr>
          <w:p w:rsidR="006B0E3E" w:rsidRDefault="006B0E3E">
            <w:pPr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0x12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18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Learn Preset 3</w:t>
            </w:r>
          </w:p>
        </w:tc>
        <w:tc>
          <w:tcPr>
            <w:tcW w:w="2307" w:type="dxa"/>
            <w:vMerge/>
            <w:vAlign w:val="center"/>
          </w:tcPr>
          <w:p w:rsidR="006B0E3E" w:rsidRDefault="006B0E3E">
            <w:pPr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0x13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19</w:t>
            </w:r>
          </w:p>
        </w:tc>
      </w:tr>
      <w:tr w:rsidR="006B0E3E">
        <w:tc>
          <w:tcPr>
            <w:tcW w:w="3779" w:type="dxa"/>
          </w:tcPr>
          <w:p w:rsidR="006B0E3E" w:rsidRDefault="00CA2BC7">
            <w:pPr>
              <w:ind w:left="360"/>
            </w:pPr>
            <w:r>
              <w:t>Learn Preset 4</w:t>
            </w:r>
          </w:p>
        </w:tc>
        <w:tc>
          <w:tcPr>
            <w:tcW w:w="2307" w:type="dxa"/>
            <w:vMerge/>
            <w:vAlign w:val="center"/>
          </w:tcPr>
          <w:p w:rsidR="006B0E3E" w:rsidRDefault="006B0E3E">
            <w:pPr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43" w:type="dxa"/>
          </w:tcPr>
          <w:p w:rsidR="006B0E3E" w:rsidRDefault="00CA2BC7">
            <w:pPr>
              <w:ind w:left="360"/>
            </w:pPr>
            <w:r>
              <w:t>0x14</w:t>
            </w:r>
          </w:p>
        </w:tc>
        <w:tc>
          <w:tcPr>
            <w:tcW w:w="1749" w:type="dxa"/>
          </w:tcPr>
          <w:p w:rsidR="006B0E3E" w:rsidRDefault="00CA2BC7">
            <w:pPr>
              <w:ind w:left="360"/>
            </w:pPr>
            <w:r>
              <w:t>20</w:t>
            </w:r>
          </w:p>
        </w:tc>
      </w:tr>
    </w:tbl>
    <w:p w:rsidR="006B0E3E" w:rsidRDefault="006B0E3E">
      <w:pPr>
        <w:jc w:val="center"/>
      </w:pPr>
    </w:p>
    <w:tbl>
      <w:tblPr>
        <w:tblW w:w="9877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778"/>
        <w:gridCol w:w="2307"/>
        <w:gridCol w:w="2043"/>
        <w:gridCol w:w="1749"/>
      </w:tblGrid>
      <w:tr w:rsidR="00EB046C" w:rsidTr="00EB046C">
        <w:tc>
          <w:tcPr>
            <w:tcW w:w="9877" w:type="dxa"/>
            <w:gridSpan w:val="4"/>
          </w:tcPr>
          <w:p w:rsidR="00EB046C" w:rsidRDefault="00EB046C" w:rsidP="00EB046C">
            <w:pPr>
              <w:ind w:left="360"/>
              <w:jc w:val="center"/>
            </w:pPr>
            <w:r>
              <w:rPr>
                <w:b/>
                <w:i/>
              </w:rPr>
              <w:t xml:space="preserve">System Wake-up </w:t>
            </w:r>
            <w:r>
              <w:t>(note 3)</w:t>
            </w:r>
          </w:p>
        </w:tc>
      </w:tr>
      <w:tr w:rsidR="00EB046C" w:rsidTr="00EB046C">
        <w:tc>
          <w:tcPr>
            <w:tcW w:w="3778" w:type="dxa"/>
          </w:tcPr>
          <w:p w:rsidR="00EB046C" w:rsidRDefault="00EB046C" w:rsidP="00EB046C">
            <w:pPr>
              <w:ind w:left="360"/>
            </w:pPr>
            <w:r>
              <w:t>Wakeup</w:t>
            </w:r>
          </w:p>
        </w:tc>
        <w:tc>
          <w:tcPr>
            <w:tcW w:w="2307" w:type="dxa"/>
            <w:vAlign w:val="center"/>
          </w:tcPr>
          <w:p w:rsidR="00EB046C" w:rsidRDefault="00EB046C" w:rsidP="00EB046C">
            <w:pPr>
              <w:ind w:left="360"/>
            </w:pPr>
            <w:r>
              <w:t>34</w:t>
            </w:r>
          </w:p>
        </w:tc>
        <w:tc>
          <w:tcPr>
            <w:tcW w:w="2043" w:type="dxa"/>
          </w:tcPr>
          <w:p w:rsidR="00EB046C" w:rsidRDefault="00EB046C" w:rsidP="00EB046C">
            <w:pPr>
              <w:ind w:left="360"/>
            </w:pPr>
            <w:r>
              <w:t>0x11</w:t>
            </w:r>
          </w:p>
        </w:tc>
        <w:tc>
          <w:tcPr>
            <w:tcW w:w="1749" w:type="dxa"/>
          </w:tcPr>
          <w:p w:rsidR="00EB046C" w:rsidRDefault="00EB046C" w:rsidP="00EB046C">
            <w:pPr>
              <w:ind w:left="360"/>
            </w:pPr>
            <w:r>
              <w:t>17</w:t>
            </w:r>
          </w:p>
        </w:tc>
      </w:tr>
    </w:tbl>
    <w:p w:rsidR="00EB046C" w:rsidRDefault="00EB046C">
      <w:pPr>
        <w:tabs>
          <w:tab w:val="left" w:pos="6078"/>
        </w:tabs>
        <w:rPr>
          <w:b/>
        </w:rPr>
      </w:pPr>
    </w:p>
    <w:p w:rsidR="006B0E3E" w:rsidRDefault="00CA2BC7">
      <w:pPr>
        <w:tabs>
          <w:tab w:val="left" w:pos="6078"/>
        </w:tabs>
        <w:rPr>
          <w:b/>
        </w:rPr>
      </w:pPr>
      <w:r>
        <w:rPr>
          <w:b/>
        </w:rPr>
        <w:t>Notes</w:t>
      </w:r>
      <w:r>
        <w:rPr>
          <w:b/>
        </w:rPr>
        <w:tab/>
      </w:r>
    </w:p>
    <w:p w:rsidR="006B0E3E" w:rsidRDefault="00CA2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 with systems that just give a single command burst such as speech recognition. The motor will run for a preset time each time the command is received. A series of repeated commands might be needed to reach a desired position.</w:t>
      </w:r>
    </w:p>
    <w:p w:rsidR="006B0E3E" w:rsidRPr="00EB046C" w:rsidRDefault="00CA2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Programming instructions must be received 3 times within 2 seconds to be valid and responded to.</w:t>
      </w:r>
    </w:p>
    <w:p w:rsidR="00EB046C" w:rsidRDefault="00EB04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This is a safety function, and the command must </w:t>
      </w:r>
      <w:proofErr w:type="gramStart"/>
      <w:r>
        <w:rPr>
          <w:color w:val="000000"/>
        </w:rPr>
        <w:t>sen</w:t>
      </w:r>
      <w:r w:rsidR="007A5469">
        <w:rPr>
          <w:color w:val="000000"/>
        </w:rPr>
        <w:t>t</w:t>
      </w:r>
      <w:proofErr w:type="gramEnd"/>
      <w:r>
        <w:rPr>
          <w:color w:val="000000"/>
        </w:rPr>
        <w:t xml:space="preserve"> in response to the user giving a command such as “Bed wake up”.  </w:t>
      </w:r>
      <w:r w:rsidR="007A5469">
        <w:rPr>
          <w:color w:val="000000"/>
        </w:rPr>
        <w:t>This will</w:t>
      </w:r>
      <w:r>
        <w:rPr>
          <w:color w:val="000000"/>
        </w:rPr>
        <w:t xml:space="preserve"> bring the bed control out of standby</w:t>
      </w:r>
      <w:r w:rsidR="007A5469">
        <w:rPr>
          <w:color w:val="000000"/>
        </w:rPr>
        <w:t xml:space="preserve"> and be available for additional commands</w:t>
      </w:r>
      <w:r>
        <w:rPr>
          <w:color w:val="000000"/>
        </w:rPr>
        <w:t>. The controller will revert to standby 60 seconds after the last command. The controller LCD backlight will be active while the unit is ready for commands.</w:t>
      </w:r>
    </w:p>
    <w:p w:rsidR="006B0E3E" w:rsidRDefault="006B0E3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B0E3E" w:rsidRDefault="00CA2BC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Wired serial data format</w:t>
      </w:r>
    </w:p>
    <w:p w:rsidR="006B0E3E" w:rsidRDefault="00CA2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Codes sent by serial data are sent </w:t>
      </w:r>
      <w:r w:rsidR="00EB046C">
        <w:rPr>
          <w:color w:val="000000"/>
        </w:rPr>
        <w:t xml:space="preserve">9600 BPS, 8NE </w:t>
      </w:r>
      <w:r>
        <w:rPr>
          <w:color w:val="000000"/>
        </w:rPr>
        <w:t xml:space="preserve">as a 3 byte sequence: </w:t>
      </w:r>
    </w:p>
    <w:p w:rsidR="006B0E3E" w:rsidRDefault="00CA2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Byte 1 – System code</w:t>
      </w:r>
    </w:p>
    <w:p w:rsidR="006B0E3E" w:rsidRDefault="00CA2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Byte 2 – Command code</w:t>
      </w:r>
    </w:p>
    <w:p w:rsidR="006B0E3E" w:rsidRDefault="00CA2BC7" w:rsidP="00EB046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Byte 3 – Checksum consisting of simple 8 bit addition of previous 2 bytes</w:t>
      </w:r>
    </w:p>
    <w:sectPr w:rsidR="006B0E3E" w:rsidSect="006B0E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46C" w:rsidRDefault="00EB046C" w:rsidP="006B0E3E">
      <w:pPr>
        <w:spacing w:line="240" w:lineRule="auto"/>
      </w:pPr>
      <w:r>
        <w:separator/>
      </w:r>
    </w:p>
  </w:endnote>
  <w:endnote w:type="continuationSeparator" w:id="0">
    <w:p w:rsidR="00EB046C" w:rsidRDefault="00EB046C" w:rsidP="006B0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46C" w:rsidRDefault="00EB04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46C" w:rsidRDefault="00EB04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:rsidR="00EB046C" w:rsidRDefault="00EB04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>P:\Bed Controls\2022SBC\SBC2022-IRcodes.docx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46C" w:rsidRDefault="00EB04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46C" w:rsidRDefault="00EB046C" w:rsidP="006B0E3E">
      <w:pPr>
        <w:spacing w:line="240" w:lineRule="auto"/>
      </w:pPr>
      <w:r>
        <w:separator/>
      </w:r>
    </w:p>
  </w:footnote>
  <w:footnote w:type="continuationSeparator" w:id="0">
    <w:p w:rsidR="00EB046C" w:rsidRDefault="00EB046C" w:rsidP="006B0E3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46C" w:rsidRDefault="00EB04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m2054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o:lock v:ext="edit" text="t" shapetype="t"/>
        </v:shapetype>
      </w:pict>
    </w:r>
    <w:r>
      <w:rPr>
        <w:color w:val="000000"/>
      </w:rPr>
      <w:pict>
        <v:shape id="PowerPlusWaterMarkObject1" o:spid="_x0000_s2049" type="#_x0000_m2054" style="position:absolute;margin-left:0;margin-top:0;width:508.65pt;height:231.35pt;rotation:315;z-index:-251656192;mso-position-horizontal:center;mso-position-horizontal-relative:margin;mso-position-vertical:center;mso-position-vertical-relative:margin" fillcolor="silver" stroked="f">
          <v:fill opacity=".5" angle="0"/>
          <v:textpath on="t" style="font-family:&quot;&amp;quot&quot;;font-size:1pt" fitshape="t" string="DRAF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46C" w:rsidRDefault="00EB04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m2053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o:lock v:ext="edit" text="t" shapetype="t"/>
        </v:shapetype>
      </w:pict>
    </w:r>
    <w:r>
      <w:rPr>
        <w:color w:val="000000"/>
      </w:rPr>
      <w:pict>
        <v:shape id="PowerPlusWaterMarkObject3" o:spid="_x0000_s2051" type="#_x0000_m2053" style="position:absolute;margin-left:0;margin-top:0;width:508.65pt;height:231.35pt;rotation:315;z-index:-251658240;mso-position-horizontal:center;mso-position-horizontal-relative:margin;mso-position-vertical:center;mso-position-vertical-relative:margin" fillcolor="silver" stroked="f">
          <v:fill opacity=".5" angle="0"/>
          <v:textpath on="t" style="font-family:&quot;&amp;quot&quot;;font-size:1pt" fitshape="t" string="DRAF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46C" w:rsidRDefault="00EB04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m2052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o:lock v:ext="edit" text="t" shapetype="t"/>
        </v:shapetype>
      </w:pict>
    </w:r>
    <w:r>
      <w:rPr>
        <w:color w:val="000000"/>
      </w:rPr>
      <w:pict>
        <v:shape id="PowerPlusWaterMarkObject2" o:spid="_x0000_s2050" type="#_x0000_m2052" style="position:absolute;margin-left:0;margin-top:0;width:508.65pt;height:231.35pt;rotation:315;z-index:-251657216;mso-position-horizontal:center;mso-position-horizontal-relative:margin;mso-position-vertical:center;mso-position-vertical-relative:margin" fillcolor="silver" stroked="f">
          <v:fill opacity=".5" angle="0"/>
          <v:textpath on="t" style="font-family:&quot;&amp;quot&quot;;font-size:1pt" fitshape="t" string="DRAF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F9E"/>
    <w:multiLevelType w:val="multilevel"/>
    <w:tmpl w:val="12DE46F4"/>
    <w:lvl w:ilvl="0">
      <w:start w:val="1"/>
      <w:numFmt w:val="decimal"/>
      <w:pStyle w:val="Ind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9262F6E"/>
    <w:multiLevelType w:val="multilevel"/>
    <w:tmpl w:val="8DECF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B0E3E"/>
    <w:rsid w:val="001A13E7"/>
    <w:rsid w:val="006B0E3E"/>
    <w:rsid w:val="00797DB6"/>
    <w:rsid w:val="007A5469"/>
    <w:rsid w:val="00CA2BC7"/>
    <w:rsid w:val="00EB0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>
      <w:pPr>
        <w:keepNext/>
        <w:keepLines/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46C"/>
  </w:style>
  <w:style w:type="paragraph" w:styleId="Heading1">
    <w:name w:val="heading 1"/>
    <w:basedOn w:val="Heading2"/>
    <w:next w:val="Normal"/>
    <w:link w:val="Heading1Char"/>
    <w:qFormat/>
    <w:rsid w:val="00344CEB"/>
    <w:pPr>
      <w:spacing w:before="120" w:after="0"/>
      <w:jc w:val="left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344CEB"/>
    <w:pPr>
      <w:spacing w:after="200"/>
      <w:jc w:val="center"/>
      <w:outlineLvl w:val="1"/>
    </w:pPr>
    <w:rPr>
      <w:rFonts w:ascii="Cambria" w:hAnsi="Cambria"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4CEB"/>
    <w:pPr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344CEB"/>
    <w:p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344CEB"/>
    <w:p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344CEB"/>
    <w:p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344CEB"/>
    <w:p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344CEB"/>
    <w:p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44CEB"/>
    <w:p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B0E3E"/>
  </w:style>
  <w:style w:type="paragraph" w:styleId="Title">
    <w:name w:val="Title"/>
    <w:basedOn w:val="Normal"/>
    <w:next w:val="Normal"/>
    <w:link w:val="TitleChar"/>
    <w:qFormat/>
    <w:rsid w:val="00344CEB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D310C8"/>
    <w:rPr>
      <w:rFonts w:ascii="Cambria" w:hAnsi="Cambria"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310C8"/>
    <w:rPr>
      <w:rFonts w:ascii="Cambria" w:hAnsi="Cambria"/>
      <w:color w:val="365F91"/>
      <w:sz w:val="28"/>
      <w:szCs w:val="28"/>
    </w:rPr>
  </w:style>
  <w:style w:type="paragraph" w:styleId="Footer">
    <w:name w:val="footer"/>
    <w:basedOn w:val="Normal"/>
    <w:link w:val="FooterChar"/>
    <w:uiPriority w:val="99"/>
    <w:rsid w:val="00344C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0C8"/>
    <w:rPr>
      <w:rFonts w:ascii="Calibri" w:hAnsi="Calibri"/>
      <w:sz w:val="24"/>
      <w:szCs w:val="24"/>
    </w:rPr>
  </w:style>
  <w:style w:type="paragraph" w:styleId="Header">
    <w:name w:val="header"/>
    <w:basedOn w:val="Normal"/>
    <w:link w:val="HeaderChar"/>
    <w:rsid w:val="00344C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10C8"/>
    <w:rPr>
      <w:rFonts w:ascii="Calibri" w:hAnsi="Calibri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344C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3428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534280"/>
    <w:rPr>
      <w:rFonts w:ascii="Cambria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34280"/>
    <w:rPr>
      <w:rFonts w:ascii="Cambria" w:hAnsi="Cambria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34280"/>
    <w:rPr>
      <w:rFonts w:ascii="Cambria" w:hAnsi="Cambria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34280"/>
    <w:rPr>
      <w:rFonts w:ascii="Cambria" w:hAnsi="Cambria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34280"/>
    <w:rPr>
      <w:rFonts w:ascii="Cambria" w:hAnsi="Cambria"/>
      <w:i/>
      <w:iCs/>
      <w:color w:val="40404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34280"/>
    <w:rPr>
      <w:rFonts w:ascii="Cambria" w:hAnsi="Cambria"/>
      <w:color w:val="404040"/>
    </w:rPr>
  </w:style>
  <w:style w:type="character" w:customStyle="1" w:styleId="Heading9Char">
    <w:name w:val="Heading 9 Char"/>
    <w:basedOn w:val="DefaultParagraphFont"/>
    <w:link w:val="Heading9"/>
    <w:rsid w:val="00534280"/>
    <w:rPr>
      <w:rFonts w:ascii="Cambria" w:hAnsi="Cambria"/>
      <w:i/>
      <w:iCs/>
      <w:color w:val="404040"/>
    </w:rPr>
  </w:style>
  <w:style w:type="character" w:styleId="Hyperlink">
    <w:name w:val="Hyperlink"/>
    <w:basedOn w:val="DefaultParagraphFont"/>
    <w:uiPriority w:val="99"/>
    <w:rsid w:val="00344CEB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344CEB"/>
    <w:pPr>
      <w:ind w:left="720"/>
      <w:contextualSpacing/>
    </w:pPr>
  </w:style>
  <w:style w:type="paragraph" w:customStyle="1" w:styleId="Indent">
    <w:name w:val="Indent"/>
    <w:basedOn w:val="ListParagraph"/>
    <w:rsid w:val="00344CEB"/>
    <w:pPr>
      <w:numPr>
        <w:numId w:val="2"/>
      </w:numPr>
      <w:spacing w:after="120"/>
    </w:pPr>
  </w:style>
  <w:style w:type="paragraph" w:styleId="Subtitle">
    <w:name w:val="Subtitle"/>
    <w:basedOn w:val="Normal"/>
    <w:next w:val="Normal"/>
    <w:link w:val="SubtitleChar"/>
    <w:rsid w:val="006B0E3E"/>
    <w:rPr>
      <w:rFonts w:ascii="Cambria" w:eastAsia="Cambria" w:hAnsi="Cambria" w:cs="Cambria"/>
      <w:i/>
      <w:color w:val="4F81BD"/>
    </w:rPr>
  </w:style>
  <w:style w:type="character" w:customStyle="1" w:styleId="SubtitleChar">
    <w:name w:val="Subtitle Char"/>
    <w:basedOn w:val="DefaultParagraphFont"/>
    <w:link w:val="Subtitle"/>
    <w:rsid w:val="0053428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34280"/>
    <w:rPr>
      <w:rFonts w:ascii="Cambria" w:hAnsi="Cambria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04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rsid w:val="006B0E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B0E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Ie2fTqdy9c73YUPYFSK9nrX7WA==">AMUW2mXjvzsod1exXWyrKLmkNg4K0Y/UQ/YyJhLzifTDHorHQ9RrIlKjkfqcGbkhLbK+SnZhZUwKyua0YlqLKNHUt4vfpCyDeAjZSjYfiywaVTa2qs9Afcg=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TSA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4</cp:revision>
  <dcterms:created xsi:type="dcterms:W3CDTF">2022-08-25T23:42:00Z</dcterms:created>
  <dcterms:modified xsi:type="dcterms:W3CDTF">2023-05-02T01:13:00Z</dcterms:modified>
</cp:coreProperties>
</file>