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otFont Display" w:cs="NotFont Display" w:eastAsia="NotFont Display" w:hAnsi="NotFont Display"/>
          <w:b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C E R T I F I C A D O</w:t>
      </w:r>
    </w:p>
    <w:p w:rsidR="00000000" w:rsidDel="00000000" w:rsidP="00000000" w:rsidRDefault="00000000" w:rsidRPr="00000000" w14:paraId="00000004">
      <w:pPr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P R O C E S O   D E    P R O D U C C I Ó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Por medio del presente, </w:t>
      </w: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The Not Company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 informa sobre el proceso de fabricación del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NOTXXX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 mediante el diagrama de flujo detallado a continuación.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certificado a solicitud del interesado para los fines que estime convenientes.</w:t>
      </w:r>
    </w:p>
    <w:p w:rsidR="00000000" w:rsidDel="00000000" w:rsidP="00000000" w:rsidRDefault="00000000" w:rsidRPr="00000000" w14:paraId="00000015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18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mayo de 2025</w:t>
      </w:r>
    </w:p>
    <w:p w:rsidR="00000000" w:rsidDel="00000000" w:rsidP="00000000" w:rsidRDefault="00000000" w:rsidRPr="00000000" w14:paraId="00000019">
      <w:pPr>
        <w:tabs>
          <w:tab w:val="left" w:leader="none" w:pos="7359.000000000001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1B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Mariana Brizzio</w:t>
      </w:r>
    </w:p>
    <w:p w:rsidR="00000000" w:rsidDel="00000000" w:rsidP="00000000" w:rsidRDefault="00000000" w:rsidRPr="00000000" w14:paraId="0000001C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South Cone</w:t>
      </w:r>
    </w:p>
    <w:p w:rsidR="00000000" w:rsidDel="00000000" w:rsidP="00000000" w:rsidRDefault="00000000" w:rsidRPr="00000000" w14:paraId="0000001D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The Not Company SpA.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2897" cy="434651"/>
          <wp:effectExtent b="0" l="0" r="0" t="0"/>
          <wp:docPr descr="NotCo - Wikipedia" id="2059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20sJaXYjlpSBLZE7D1/nAJUnQ==">CgMxLjA4AHIhMVlfYWl1dlFSZlB5cVhnTnI0WnM0am9IQWdqT1BTUUpH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