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Strategy Report</w:t>
      </w:r>
    </w:p>
    <w:p>
      <w:r>
        <w:t>**Summary Report:**</w:t>
        <w:br/>
        <w:br/>
        <w:t>Based on the provided technical indicator data for the ticker, here are the key observations and recommendations:</w:t>
        <w:br/>
        <w:br/>
        <w:t>1. **Price Trend Analysis:**</w:t>
        <w:br/>
        <w:t xml:space="preserve">   - The closing price has remained constant at $69.5 for the given dates.</w:t>
        <w:br/>
        <w:t xml:space="preserve">   - The high and low prices have also remained stable within the range of $68.8 to $72.9.</w:t>
        <w:br/>
        <w:br/>
        <w:t>2. **Moving Averages (MA):**</w:t>
        <w:br/>
        <w:t xml:space="preserve">   - The Moving Average (MA) is at $69.5, indicating a flat trend in the short term.</w:t>
        <w:br/>
        <w:br/>
        <w:t>3. **Relative Strength Index (RSI):**</w:t>
        <w:br/>
        <w:t xml:space="preserve">   - The RSI values are not provided in the data, making it challenging to assess the overbought or oversold conditions.</w:t>
        <w:br/>
        <w:br/>
        <w:t>4. **Exponential Moving Averages (EMA):**</w:t>
        <w:br/>
        <w:t xml:space="preserve">   - Both the short-term EMA and long-term EMA are close to the MA value, suggesting a lack of significant price momentum.</w:t>
        <w:br/>
        <w:br/>
        <w:t>5. **Moving Average Convergence Divergence (MACD):**</w:t>
        <w:br/>
        <w:t xml:space="preserve">   - The MACD is negative, indicating a bearish signal in the short term.</w:t>
        <w:br/>
        <w:br/>
        <w:t>6. **Bollinger Bands (BB):**</w:t>
        <w:br/>
        <w:t xml:space="preserve">   - The Bollinger Bands are tight around the price, reflecting low volatility and a consolidation phase.</w:t>
        <w:br/>
        <w:br/>
        <w:t>**Recommendations:**</w:t>
        <w:br/>
        <w:t>- **Hold Strategy:** Given the lack of significant price movements and the absence of clear trend signals, it may be prudent to hold the position for now.</w:t>
        <w:br/>
        <w:t>- **Monitor RSI:** Keep an eye on the R</w:t>
      </w:r>
    </w:p>
    <w:p>
      <w:pPr>
        <w:pStyle w:val="Heading1"/>
      </w:pPr>
      <w:r>
        <w:t>Portfolio Drawdown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Trade PnL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nl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Portfolio Value Over Time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tfolio_valu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Portfolio Performance with Trades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tfolio_with_trad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