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Strategy Report</w:t>
      </w:r>
    </w:p>
    <w:p>
      <w:r>
        <w:t>**Summary Report:**</w:t>
        <w:br/>
        <w:br/>
        <w:t>Based on the provided technical indicator data for the ticker, here are the key observations and recommendations:</w:t>
        <w:br/>
        <w:br/>
        <w:t>1. **Price Action**: The closing price has remained constant at 69.5 for the given dates, indicating a lack of significant movement in the stock price.</w:t>
        <w:br/>
        <w:br/>
        <w:t>2. **Moving Averages (MA)**: The Moving Average (MA) for both short-term (EMA_short) and long-term (EMA_long) have also remained constant at 69.5. This suggests a stable price trend without any major shifts.</w:t>
        <w:br/>
        <w:br/>
        <w:t>3. **Relative Strength Index (RSI)**: The RSI values are close to 50, indicating a neutral sentiment in the market with no clear overbought or oversold conditions.</w:t>
        <w:br/>
        <w:br/>
        <w:t>4. **MACD and Signal Line**: The MACD line has been negative, indicating a bearish trend, but the Signal Line is also negative, suggesting a lack of strong momentum in either direction.</w:t>
        <w:br/>
        <w:br/>
        <w:t>5. **Bollinger Bands (BB)**: The Bollinger Bands are tight around the price, indicating low volatility and a period of consolidation.</w:t>
        <w:br/>
        <w:br/>
        <w:t>**Recommendations:**</w:t>
        <w:br/>
        <w:br/>
        <w:t>1. **Hold Position**: Given the lack of significant price movements and the neutral technical indicators, it may be prudent to hold onto existing positions until a clearer trend emerges.</w:t>
        <w:br/>
        <w:br/>
        <w:t>2. **Monitor Closely**: Keep a close eye on any developments in the market that could potentially trigger a breakout or breakdown in the stock price.</w:t>
        <w:br/>
        <w:br/>
        <w:t>3. **Consider Risk Management**: With the low</w:t>
      </w:r>
    </w:p>
    <w:p>
      <w:pPr>
        <w:pStyle w:val="Heading1"/>
      </w:pPr>
      <w:r>
        <w:t>Generated Plots</w:t>
      </w:r>
    </w:p>
    <w:p>
      <w:pPr>
        <w:pStyle w:val="Heading2"/>
      </w:pPr>
      <w:r>
        <w:t>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PnL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n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Portfolio Value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val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Portfolio with Trades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with_trad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