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Strategy Report</w:t>
      </w:r>
    </w:p>
    <w:p>
      <w:r>
        <w:t>**Summary Report:**</w:t>
        <w:br/>
        <w:br/>
        <w:t>1. **Trend Analysis:**</w:t>
        <w:br/>
        <w:t xml:space="preserve">   - The total value of the portfolio has been fluctuating over the recent weeks, starting at $114,829.74 on 2025-02-14, dropping to $114,390.25 on 2025-03-03, and further decreasing to $112,570.50 on 2025-03-18.</w:t>
        <w:br/>
        <w:t xml:space="preserve">   - The drawdown has also been increasing, reaching -3.14% on 2025-03-18 from -1.20% on 2025-02-14.</w:t>
        <w:br/>
        <w:br/>
        <w:t>2. **Interpretation:**</w:t>
        <w:br/>
        <w:t xml:space="preserve">   - The portfolio has experienced a decline in total value, indicating potential losses or underperformance during the analyzed period.</w:t>
        <w:br/>
        <w:t xml:space="preserve">   - The increasing drawdown suggests higher risk exposure and potential for further downside if the trend continues.</w:t>
        <w:br/>
        <w:br/>
        <w:t>3. **Recommendations:**</w:t>
        <w:br/>
        <w:t xml:space="preserve">   - Given the recent performance, it may be prudent to review the current trading strategy and risk management approach to potentially reduce drawdown and enhance overall portfolio performance.</w:t>
        <w:br/>
        <w:t xml:space="preserve">   - Consider diversifying the positions to mitigate risk and improve the portfolio's resilience to market fluctuations.</w:t>
        <w:br/>
        <w:t xml:space="preserve">   - Regularly monitor and adjust the trading strategy based on market conditions to capitalize on opportunities and minimize potential losses.</w:t>
        <w:br/>
        <w:br/>
        <w:t>4. **Additional Information:**</w:t>
        <w:br/>
        <w:t xml:space="preserve">   - The risk-free rate (10-Year Treasury) stands at 4.24%, which can serve as a benchmark for evaluating the portfolio's performance relative to a low-risk alternative.</w:t>
        <w:br/>
        <w:br/>
        <w:t>Overall</w:t>
      </w:r>
    </w:p>
    <w:p>
      <w:pPr>
        <w:pStyle w:val="Heading1"/>
      </w:pPr>
      <w:r>
        <w:t>Portfolio Drawdown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Trade P&amp;L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Value Over Time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val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Portfolio Performance with Trades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_with_trad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