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Sentiment Contribution Analysis Report</w:t>
      </w:r>
    </w:p>
    <w:p>
      <w:pPr>
        <w:pStyle w:val="Heading2"/>
      </w:pPr>
      <w:r>
        <w:t>Executive Summary</w:t>
      </w:r>
    </w:p>
    <w:p>
      <w:r>
        <w:t>This report analyzes the contribution of Reddit sentiment analysis to trading performance. Incorporating sentiment data resulted in a 0.55% (increase) in total return, which represents a 25.42% improvement over the base strategy. The Sharpe ratio improved by 0.13 points, and maximum drawdown was increased by 0.18%.</w:t>
      </w:r>
    </w:p>
    <w:p>
      <w:pPr>
        <w:pStyle w:val="Heading2"/>
      </w:pPr>
      <w:r>
        <w:t>Performance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Base Strategy</w:t>
            </w:r>
          </w:p>
        </w:tc>
        <w:tc>
          <w:tcPr>
            <w:tcW w:type="dxa" w:w="2880"/>
          </w:tcPr>
          <w:p>
            <w:r>
              <w:t>With Sentiment</w:t>
            </w:r>
          </w:p>
        </w:tc>
      </w:tr>
      <w:tr>
        <w:tc>
          <w:tcPr>
            <w:tcW w:type="dxa" w:w="2880"/>
          </w:tcPr>
          <w:p>
            <w:r>
              <w:t>Total Return</w:t>
            </w:r>
          </w:p>
        </w:tc>
        <w:tc>
          <w:tcPr>
            <w:tcW w:type="dxa" w:w="2880"/>
          </w:tcPr>
          <w:p>
            <w:r>
              <w:t>-2.16%</w:t>
            </w:r>
          </w:p>
        </w:tc>
        <w:tc>
          <w:tcPr>
            <w:tcW w:type="dxa" w:w="2880"/>
          </w:tcPr>
          <w:p>
            <w:r>
              <w:t>-1.61%</w:t>
            </w:r>
          </w:p>
        </w:tc>
      </w:tr>
      <w:tr>
        <w:tc>
          <w:tcPr>
            <w:tcW w:type="dxa" w:w="2880"/>
          </w:tcPr>
          <w:p>
            <w:r>
              <w:t>Annualized Return</w:t>
            </w:r>
          </w:p>
        </w:tc>
        <w:tc>
          <w:tcPr>
            <w:tcW w:type="dxa" w:w="2880"/>
          </w:tcPr>
          <w:p>
            <w:r>
              <w:t>-2.16%</w:t>
            </w:r>
          </w:p>
        </w:tc>
        <w:tc>
          <w:tcPr>
            <w:tcW w:type="dxa" w:w="2880"/>
          </w:tcPr>
          <w:p>
            <w:r>
              <w:t>-1.61%</w:t>
            </w:r>
          </w:p>
        </w:tc>
      </w:tr>
      <w:tr>
        <w:tc>
          <w:tcPr>
            <w:tcW w:type="dxa" w:w="2880"/>
          </w:tcPr>
          <w:p>
            <w:r>
              <w:t>Sharpe Ratio</w:t>
            </w:r>
          </w:p>
        </w:tc>
        <w:tc>
          <w:tcPr>
            <w:tcW w:type="dxa" w:w="2880"/>
          </w:tcPr>
          <w:p>
            <w:r>
              <w:t>-0.57</w:t>
            </w:r>
          </w:p>
        </w:tc>
        <w:tc>
          <w:tcPr>
            <w:tcW w:type="dxa" w:w="2880"/>
          </w:tcPr>
          <w:p>
            <w:r>
              <w:t>-0.45</w:t>
            </w:r>
          </w:p>
        </w:tc>
      </w:tr>
      <w:tr>
        <w:tc>
          <w:tcPr>
            <w:tcW w:type="dxa" w:w="2880"/>
          </w:tcPr>
          <w:p>
            <w:r>
              <w:t>Max Drawdown</w:t>
            </w:r>
          </w:p>
        </w:tc>
        <w:tc>
          <w:tcPr>
            <w:tcW w:type="dxa" w:w="2880"/>
          </w:tcPr>
          <w:p>
            <w:r>
              <w:t>-3.47%</w:t>
            </w:r>
          </w:p>
        </w:tc>
        <w:tc>
          <w:tcPr>
            <w:tcW w:type="dxa" w:w="2880"/>
          </w:tcPr>
          <w:p>
            <w:r>
              <w:t>-3.29%</w:t>
            </w:r>
          </w:p>
        </w:tc>
      </w:tr>
      <w:tr>
        <w:tc>
          <w:tcPr>
            <w:tcW w:type="dxa" w:w="2880"/>
          </w:tcPr>
          <w:p>
            <w:r>
              <w:t>Win Rate</w:t>
            </w:r>
          </w:p>
        </w:tc>
        <w:tc>
          <w:tcPr>
            <w:tcW w:type="dxa" w:w="2880"/>
          </w:tcPr>
          <w:p>
            <w:r>
              <w:t>3.17%</w:t>
            </w:r>
          </w:p>
        </w:tc>
        <w:tc>
          <w:tcPr>
            <w:tcW w:type="dxa" w:w="2880"/>
          </w:tcPr>
          <w:p>
            <w:r>
              <w:t>2.38%</w:t>
            </w:r>
          </w:p>
        </w:tc>
      </w:tr>
      <w:tr>
        <w:tc>
          <w:tcPr>
            <w:tcW w:type="dxa" w:w="2880"/>
          </w:tcPr>
          <w:p>
            <w:r>
              <w:t>Number of Trades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</w:tbl>
    <w:p>
      <w:pPr>
        <w:pStyle w:val="Heading2"/>
      </w:pPr>
      <w:r>
        <w:t>Sentiment-Driven Trades</w:t>
      </w:r>
    </w:p>
    <w:p>
      <w:r>
        <w:t>The sentiment analysis influenced 1 trading decisions: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Sentiment</w:t>
            </w:r>
          </w:p>
        </w:tc>
      </w:tr>
      <w:tr>
        <w:tc>
          <w:tcPr>
            <w:tcW w:type="dxa" w:w="2160"/>
          </w:tcPr>
          <w:p>
            <w:r>
              <w:t>2024-08-01</w:t>
            </w:r>
          </w:p>
        </w:tc>
        <w:tc>
          <w:tcPr>
            <w:tcW w:type="dxa" w:w="2160"/>
          </w:tcPr>
          <w:p>
            <w:r>
              <w:t>Sell</w:t>
            </w:r>
          </w:p>
        </w:tc>
        <w:tc>
          <w:tcPr>
            <w:tcW w:type="dxa" w:w="2160"/>
          </w:tcPr>
          <w:p>
            <w:r>
              <w:t>$218.36</w:t>
            </w:r>
          </w:p>
        </w:tc>
        <w:tc>
          <w:tcPr>
            <w:tcW w:type="dxa" w:w="2160"/>
          </w:tcPr>
          <w:p>
            <w:r>
              <w:t>-0.9302</w:t>
            </w:r>
          </w:p>
        </w:tc>
      </w:tr>
    </w:tbl>
    <w:p>
      <w:pPr>
        <w:pStyle w:val="Heading2"/>
      </w:pPr>
      <w:r>
        <w:t>Market Period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Period</w:t>
            </w:r>
          </w:p>
        </w:tc>
        <w:tc>
          <w:tcPr>
            <w:tcW w:type="dxa" w:w="1440"/>
          </w:tcPr>
          <w:p>
            <w:r>
              <w:t>Date Range</w:t>
            </w:r>
          </w:p>
        </w:tc>
        <w:tc>
          <w:tcPr>
            <w:tcW w:type="dxa" w:w="1440"/>
          </w:tcPr>
          <w:p>
            <w:r>
              <w:t>Base Return</w:t>
            </w:r>
          </w:p>
        </w:tc>
        <w:tc>
          <w:tcPr>
            <w:tcW w:type="dxa" w:w="1440"/>
          </w:tcPr>
          <w:p>
            <w:r>
              <w:t>With Sentiment</w:t>
            </w:r>
          </w:p>
        </w:tc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Avg. Sentiment</w:t>
            </w:r>
          </w:p>
        </w:tc>
      </w:tr>
      <w:tr>
        <w:tc>
          <w:tcPr>
            <w:tcW w:type="dxa" w:w="1440"/>
          </w:tcPr>
          <w:p>
            <w:r>
              <w:t>Period 1</w:t>
            </w:r>
          </w:p>
        </w:tc>
        <w:tc>
          <w:tcPr>
            <w:tcW w:type="dxa" w:w="1440"/>
          </w:tcPr>
          <w:p>
            <w:r>
              <w:t>2024-01-02 to 2024-04-02</w:t>
            </w:r>
          </w:p>
        </w:tc>
        <w:tc>
          <w:tcPr>
            <w:tcW w:type="dxa" w:w="1440"/>
          </w:tcPr>
          <w:p>
            <w:r>
              <w:t>-2.86%</w:t>
            </w:r>
          </w:p>
        </w:tc>
        <w:tc>
          <w:tcPr>
            <w:tcW w:type="dxa" w:w="1440"/>
          </w:tcPr>
          <w:p>
            <w:r>
              <w:t>-2.86%</w:t>
            </w:r>
          </w:p>
        </w:tc>
        <w:tc>
          <w:tcPr>
            <w:tcW w:type="dxa" w:w="1440"/>
          </w:tcPr>
          <w:p>
            <w:r>
              <w:t>0.00%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Period 2</w:t>
            </w:r>
          </w:p>
        </w:tc>
        <w:tc>
          <w:tcPr>
            <w:tcW w:type="dxa" w:w="1440"/>
          </w:tcPr>
          <w:p>
            <w:r>
              <w:t>2024-04-03 to 2024-07-02</w:t>
            </w:r>
          </w:p>
        </w:tc>
        <w:tc>
          <w:tcPr>
            <w:tcW w:type="dxa" w:w="1440"/>
          </w:tcPr>
          <w:p>
            <w:r>
              <w:t>0.51%</w:t>
            </w:r>
          </w:p>
        </w:tc>
        <w:tc>
          <w:tcPr>
            <w:tcW w:type="dxa" w:w="1440"/>
          </w:tcPr>
          <w:p>
            <w:r>
              <w:t>0.51%</w:t>
            </w:r>
          </w:p>
        </w:tc>
        <w:tc>
          <w:tcPr>
            <w:tcW w:type="dxa" w:w="1440"/>
          </w:tcPr>
          <w:p>
            <w:r>
              <w:t>0.00%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Period 3</w:t>
            </w:r>
          </w:p>
        </w:tc>
        <w:tc>
          <w:tcPr>
            <w:tcW w:type="dxa" w:w="1440"/>
          </w:tcPr>
          <w:p>
            <w:r>
              <w:t>2024-07-03 to 2024-10-01</w:t>
            </w:r>
          </w:p>
        </w:tc>
        <w:tc>
          <w:tcPr>
            <w:tcW w:type="dxa" w:w="1440"/>
          </w:tcPr>
          <w:p>
            <w:r>
              <w:t>-0.56%</w:t>
            </w:r>
          </w:p>
        </w:tc>
        <w:tc>
          <w:tcPr>
            <w:tcW w:type="dxa" w:w="1440"/>
          </w:tcPr>
          <w:p>
            <w:r>
              <w:t>0.00%</w:t>
            </w:r>
          </w:p>
        </w:tc>
        <w:tc>
          <w:tcPr>
            <w:tcW w:type="dxa" w:w="1440"/>
          </w:tcPr>
          <w:p>
            <w:r>
              <w:t>0.56%</w:t>
            </w:r>
          </w:p>
        </w:tc>
        <w:tc>
          <w:tcPr>
            <w:tcW w:type="dxa" w:w="1440"/>
          </w:tcPr>
          <w:p>
            <w:r>
              <w:t>-0.9080</w:t>
            </w:r>
          </w:p>
        </w:tc>
      </w:tr>
      <w:tr>
        <w:tc>
          <w:tcPr>
            <w:tcW w:type="dxa" w:w="1440"/>
          </w:tcPr>
          <w:p>
            <w:r>
              <w:t>Period 4</w:t>
            </w:r>
          </w:p>
        </w:tc>
        <w:tc>
          <w:tcPr>
            <w:tcW w:type="dxa" w:w="1440"/>
          </w:tcPr>
          <w:p>
            <w:r>
              <w:t>2024-10-02 to 2024-12-31</w:t>
            </w:r>
          </w:p>
        </w:tc>
        <w:tc>
          <w:tcPr>
            <w:tcW w:type="dxa" w:w="1440"/>
          </w:tcPr>
          <w:p>
            <w:r>
              <w:t>0.76%</w:t>
            </w:r>
          </w:p>
        </w:tc>
        <w:tc>
          <w:tcPr>
            <w:tcW w:type="dxa" w:w="1440"/>
          </w:tcPr>
          <w:p>
            <w:r>
              <w:t>0.76%</w:t>
            </w:r>
          </w:p>
        </w:tc>
        <w:tc>
          <w:tcPr>
            <w:tcW w:type="dxa" w:w="1440"/>
          </w:tcPr>
          <w:p>
            <w:r>
              <w:t>0.00%</w:t>
            </w:r>
          </w:p>
        </w:tc>
        <w:tc>
          <w:tcPr>
            <w:tcW w:type="dxa" w:w="1440"/>
          </w:tcPr>
          <w:p>
            <w:r>
              <w:t>0.6222</w:t>
            </w:r>
          </w:p>
        </w:tc>
      </w:tr>
    </w:tbl>
    <w:p>
      <w:pPr>
        <w:pStyle w:val="Heading2"/>
      </w:pPr>
      <w:r>
        <w:t>Key Insights</w:t>
      </w:r>
    </w:p>
    <w:p>
      <w:r>
        <w:t>Sentiment analysis provided the greatest improvement during Period 3 (2024-07-03 to 2024-10-01), with a 0.56% increase in returns.</w:t>
      </w:r>
    </w:p>
    <w:p>
      <w:r>
        <w:t>The average sentiment during this period was -0.9080</w:t>
      </w:r>
    </w:p>
    <w:p>
      <w:r>
        <w:t>Sentiment analysis performed worst during Period 1, with a 0.00% impact on returns.</w:t>
      </w:r>
    </w:p>
    <w:p>
      <w:r>
        <w:t>The strategy with sentiment achieved 25.42% higher returns than the base strategy without sentiment.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