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Report: 5 Tech Stocks</w:t>
      </w:r>
    </w:p>
    <w:p>
      <w:pPr>
        <w:pStyle w:val="Heading2"/>
      </w:pPr>
      <w:r>
        <w:t>Executive Summary</w:t>
      </w:r>
    </w:p>
    <w:p>
      <w:r>
        <w:t>This report presents the performance of a trading strategy applied to 5 Tech Stocks using a combination of technical analysis, sentiment analysis, and predictive models.</w:t>
      </w:r>
    </w:p>
    <w:p>
      <w:r>
        <w:t>The strategy achieved a total return of -1.61% (-1.61% annualized) with a Sharpe ratio of -0.45. Maximum drawdown was -3.29%. The strategy executed 11 trades with a win rate of 2.38%.</w:t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-1.61%</w:t>
            </w:r>
          </w:p>
        </w:tc>
      </w:tr>
      <w:tr>
        <w:tc>
          <w:tcPr>
            <w:tcW w:type="dxa" w:w="4320"/>
          </w:tcPr>
          <w:p>
            <w:r>
              <w:t>Annualized Return</w:t>
            </w:r>
          </w:p>
        </w:tc>
        <w:tc>
          <w:tcPr>
            <w:tcW w:type="dxa" w:w="4320"/>
          </w:tcPr>
          <w:p>
            <w:r>
              <w:t>-1.61%</w:t>
            </w:r>
          </w:p>
        </w:tc>
      </w:tr>
      <w:tr>
        <w:tc>
          <w:tcPr>
            <w:tcW w:type="dxa" w:w="4320"/>
          </w:tcPr>
          <w:p>
            <w:r>
              <w:t>Volatility</w:t>
            </w:r>
          </w:p>
        </w:tc>
        <w:tc>
          <w:tcPr>
            <w:tcW w:type="dxa" w:w="4320"/>
          </w:tcPr>
          <w:p>
            <w:r>
              <w:t>3.63%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-0.45</w:t>
            </w:r>
          </w:p>
        </w:tc>
      </w:tr>
      <w:tr>
        <w:tc>
          <w:tcPr>
            <w:tcW w:type="dxa" w:w="4320"/>
          </w:tcPr>
          <w:p>
            <w:r>
              <w:t>Maximum Drawdown</w:t>
            </w:r>
          </w:p>
        </w:tc>
        <w:tc>
          <w:tcPr>
            <w:tcW w:type="dxa" w:w="4320"/>
          </w:tcPr>
          <w:p>
            <w:r>
              <w:t>-3.29%</w:t>
            </w:r>
          </w:p>
        </w:tc>
      </w:tr>
      <w:tr>
        <w:tc>
          <w:tcPr>
            <w:tcW w:type="dxa" w:w="4320"/>
          </w:tcPr>
          <w:p>
            <w:r>
              <w:t>Calmar Ratio</w:t>
            </w:r>
          </w:p>
        </w:tc>
        <w:tc>
          <w:tcPr>
            <w:tcW w:type="dxa" w:w="4320"/>
          </w:tcPr>
          <w:p>
            <w:r>
              <w:t>-0.49</w:t>
            </w:r>
          </w:p>
        </w:tc>
      </w:tr>
      <w:tr>
        <w:tc>
          <w:tcPr>
            <w:tcW w:type="dxa" w:w="4320"/>
          </w:tcPr>
          <w:p>
            <w:r>
              <w:t>Win Rate</w:t>
            </w:r>
          </w:p>
        </w:tc>
        <w:tc>
          <w:tcPr>
            <w:tcW w:type="dxa" w:w="4320"/>
          </w:tcPr>
          <w:p>
            <w:r>
              <w:t>2.38%</w:t>
            </w:r>
          </w:p>
        </w:tc>
      </w:tr>
      <w:tr>
        <w:tc>
          <w:tcPr>
            <w:tcW w:type="dxa" w:w="4320"/>
          </w:tcPr>
          <w:p>
            <w:r>
              <w:t>Number of Trades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Average Trade Return</w:t>
            </w:r>
          </w:p>
        </w:tc>
        <w:tc>
          <w:tcPr>
            <w:tcW w:type="dxa" w:w="4320"/>
          </w:tcPr>
          <w:p>
            <w:r>
              <w:t>-0.14%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