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aps/>
          <w:color w:val="595959"/>
          <w:sz w:val="20"/>
          <w:szCs w:val="20"/>
        </w:rPr>
        <w:t xml:space="preserve">FUTO BAR ASSOCIATION (FBA)</w:t>
      </w:r>
    </w:p>
    <w:p>
      <w:pPr>
        <w:spacing w:after="40"/>
        <w:jc w:val="center"/>
      </w:pPr>
      <w:r>
        <w:rPr>
          <w:i/>
          <w:iCs/>
          <w:color w:val="595959"/>
          <w:sz w:val="18"/>
          <w:szCs w:val="18"/>
        </w:rPr>
        <w:t xml:space="preserve">SUG School of Paralegal Studies — Invictus Executives Lecture Series</w:t>
      </w:r>
    </w:p>
    <w:p>
      <w:pPr>
        <w:spacing w:after="100" w:before="200"/>
        <w:jc w:val="center"/>
      </w:pPr>
      <w:r>
        <w:rPr>
          <w:b/>
          <w:bCs/>
          <w:color w:val="1F3A5F"/>
          <w:sz w:val="40"/>
          <w:szCs w:val="40"/>
        </w:rPr>
        <w:t xml:space="preserve">STEPS IN CIVIL AND CRIMINAL LITIGATION</w:t>
      </w:r>
    </w:p>
    <w:p>
      <w:pPr>
        <w:spacing w:after="60"/>
        <w:jc w:val="center"/>
      </w:pPr>
      <w:r>
        <w:rPr>
          <w:i/>
          <w:iCs/>
          <w:color w:val="8A6D3B"/>
          <w:sz w:val="22"/>
          <w:szCs w:val="22"/>
        </w:rPr>
        <w:t xml:space="preserve">A Lecture Note on Nigerian Civil and Criminal Procedure</w:t>
      </w:r>
    </w:p>
    <w:p>
      <w:pPr>
        <w:spacing w:after="300"/>
        <w:jc w:val="center"/>
      </w:pPr>
      <w:r>
        <w:rPr>
          <w:color w:val="595959"/>
          <w:sz w:val="20"/>
          <w:szCs w:val="20"/>
        </w:rPr>
        <w:t xml:space="preserve">Presented by Barr. Uche Chukwunonso E. | Attorney-General, FUTO SUG</w:t>
      </w:r>
    </w:p>
    <w:p>
      <w:pPr>
        <w:pBdr>
          <w:bottom w:val="single" w:color="1F3A5F" w:sz="6" w:space="1"/>
        </w:pBdr>
        <w:spacing w:after="200"/>
      </w:pPr>
    </w:p>
    <w:p>
      <w:pPr>
        <w:pStyle w:val="Heading1"/>
        <w:spacing w:after="160" w:before="400"/>
      </w:pPr>
      <w:r>
        <w:rPr>
          <w:b/>
          <w:bCs/>
          <w:color w:val="1F3A5F"/>
          <w:sz w:val="30"/>
          <w:szCs w:val="30"/>
        </w:rPr>
        <w:t xml:space="preserve">1. Introduction</w:t>
      </w:r>
    </w:p>
    <w:p>
      <w:pPr>
        <w:spacing w:after="140" w:line="300"/>
      </w:pPr>
      <w:r>
        <w:rPr>
          <w:sz w:val="22"/>
          <w:szCs w:val="22"/>
        </w:rPr>
        <w:t xml:space="preserve">Litigation is the process of taking a dispute or an allegation through the court system for resolution. Nigerian law recognises two broad streams of litigation — civil and criminal — each with distinct parties, purposes, procedural rules, and standards of proof. Every intending barrister must master the procedural steps of both streams, since procedure is often described as "the handmaid of justice": a strong case can be lost on a technical procedural default.</w:t>
      </w:r>
    </w:p>
    <w:p>
      <w:pPr>
        <w:spacing w:after="140" w:line="300"/>
      </w:pPr>
      <w:r>
        <w:rPr>
          <w:sz w:val="22"/>
          <w:szCs w:val="22"/>
        </w:rPr>
        <w:t xml:space="preserve">This note breaks litigation down into sequential, examinable steps, situates each step within the relevant statute or rule, and illustrates the principles with Nigerian case law and practical scenarios you are likely to encounter as law students and, later, as legal practitioners.</w:t>
      </w:r>
    </w:p>
    <w:p>
      <w:pPr>
        <w:pStyle w:val="Heading1"/>
        <w:spacing w:after="160" w:before="400"/>
      </w:pPr>
      <w:r>
        <w:rPr>
          <w:b/>
          <w:bCs/>
          <w:color w:val="1F3A5F"/>
          <w:sz w:val="30"/>
          <w:szCs w:val="30"/>
        </w:rPr>
        <w:t xml:space="preserve">2. Steps in Civil Litigation</w:t>
      </w:r>
    </w:p>
    <w:p>
      <w:pPr>
        <w:spacing w:after="140" w:line="300"/>
      </w:pPr>
      <w:r>
        <w:rPr>
          <w:sz w:val="22"/>
          <w:szCs w:val="22"/>
        </w:rPr>
        <w:t xml:space="preserve">Civil litigation is commenced by a private party (the Claimant/Plaintiff) against another (the Defendant) to enforce a right, obtain a remedy, or claim damages. The procedure below reflects the general pattern under the various State High Court (Civil Procedure) Rules (e.g., Lagos, Imo, FCT), which are broadly similar.</w:t>
      </w:r>
    </w:p>
    <w:p>
      <w:pPr>
        <w:pStyle w:val="ListParagraph"/>
        <w:numPr>
          <w:ilvl w:val="0"/>
          <w:numId w:val="2"/>
        </w:numPr>
        <w:spacing w:after="90" w:line="290"/>
      </w:pPr>
      <w:r>
        <w:rPr>
          <w:b/>
          <w:bCs/>
          <w:sz w:val="22"/>
          <w:szCs w:val="22"/>
        </w:rPr>
        <w:t xml:space="preserve">Step 1 — Pre-Action Considerations: </w:t>
      </w:r>
      <w:r>
        <w:rPr>
          <w:sz w:val="22"/>
          <w:szCs w:val="22"/>
        </w:rPr>
        <w:t xml:space="preserve">Before filing, counsel must determine jurisdiction (subject-matter, territorial, and monetary), the proper parties, the applicable limitation period, and whether a pre-action notice is required (e.g., against government bodies or statutory corporations such as NNPC or NEPA/PHCN successors). Some Rules require a Pre-Action Protocol Form disclosing attempts at settlement.</w:t>
      </w:r>
    </w:p>
    <w:p>
      <w:pPr>
        <w:pStyle w:val="ListParagraph"/>
        <w:numPr>
          <w:ilvl w:val="0"/>
          <w:numId w:val="2"/>
        </w:numPr>
        <w:spacing w:after="90" w:line="290"/>
      </w:pPr>
      <w:r>
        <w:rPr>
          <w:b/>
          <w:bCs/>
          <w:sz w:val="22"/>
          <w:szCs w:val="22"/>
        </w:rPr>
        <w:t xml:space="preserve">Step 2 — Commencement of Action: </w:t>
      </w:r>
      <w:r>
        <w:rPr>
          <w:sz w:val="22"/>
          <w:szCs w:val="22"/>
        </w:rPr>
        <w:t xml:space="preserve">The suit is commenced by filing an originating process at the registry — typically a Writ of Summons (where facts are disputed and oral evidence/cross-examination will be needed) or an Originating Summons (where the dispute is mainly on construction of documents/law with little factual dispute). Other originating processes include the Originating Motion and the Petition (e.g., in matrimonial causes).</w:t>
      </w:r>
    </w:p>
    <w:p>
      <w:pPr>
        <w:pStyle w:val="ListParagraph"/>
        <w:numPr>
          <w:ilvl w:val="0"/>
          <w:numId w:val="2"/>
        </w:numPr>
        <w:spacing w:after="90" w:line="290"/>
      </w:pPr>
      <w:r>
        <w:rPr>
          <w:b/>
          <w:bCs/>
          <w:sz w:val="22"/>
          <w:szCs w:val="22"/>
        </w:rPr>
        <w:t xml:space="preserve">Step 3 — Filing of Processes: </w:t>
      </w:r>
      <w:r>
        <w:rPr>
          <w:sz w:val="22"/>
          <w:szCs w:val="22"/>
        </w:rPr>
        <w:t xml:space="preserve">The Claimant files the Writ/Summons alongside a Statement of Claim, list of witnesses, witness statements on oath, and list/copies of documents to be relied upon (front-loading), as required under most modern High Court Rules.</w:t>
      </w:r>
    </w:p>
    <w:p>
      <w:pPr>
        <w:pStyle w:val="ListParagraph"/>
        <w:numPr>
          <w:ilvl w:val="0"/>
          <w:numId w:val="2"/>
        </w:numPr>
        <w:spacing w:after="90" w:line="290"/>
      </w:pPr>
      <w:r>
        <w:rPr>
          <w:b/>
          <w:bCs/>
          <w:sz w:val="22"/>
          <w:szCs w:val="22"/>
        </w:rPr>
        <w:t xml:space="preserve">Step 4 — Service of Originating Process: </w:t>
      </w:r>
      <w:r>
        <w:rPr>
          <w:sz w:val="22"/>
          <w:szCs w:val="22"/>
        </w:rPr>
        <w:t xml:space="preserve">The court's process must be served on the Defendant, personally or through a recognised substituted mode where personal service is impracticable (e.g., substituted service by courier, newspaper publication, or affixation, upon a court order). Proper service is fundamental — a suit not properly served may be struck out or a judgment set aside as a nullity.</w:t>
      </w:r>
    </w:p>
    <w:p>
      <w:pPr>
        <w:pStyle w:val="ListParagraph"/>
        <w:numPr>
          <w:ilvl w:val="0"/>
          <w:numId w:val="2"/>
        </w:numPr>
        <w:spacing w:after="90" w:line="290"/>
      </w:pPr>
      <w:r>
        <w:rPr>
          <w:b/>
          <w:bCs/>
          <w:sz w:val="22"/>
          <w:szCs w:val="22"/>
        </w:rPr>
        <w:t xml:space="preserve">Step 5 — Entry of Appearance and Defence: </w:t>
      </w:r>
      <w:r>
        <w:rPr>
          <w:sz w:val="22"/>
          <w:szCs w:val="22"/>
        </w:rPr>
        <w:t xml:space="preserve">The Defendant enters a Memorandum of Appearance and files a Statement of Defence (and Counter-Claim, if any) within the time prescribed by the Rules, along with the Defendant's own witness statements on oath and documents.</w:t>
      </w:r>
    </w:p>
    <w:p>
      <w:pPr>
        <w:pStyle w:val="ListParagraph"/>
        <w:numPr>
          <w:ilvl w:val="0"/>
          <w:numId w:val="2"/>
        </w:numPr>
        <w:spacing w:after="90" w:line="290"/>
      </w:pPr>
      <w:r>
        <w:rPr>
          <w:b/>
          <w:bCs/>
          <w:sz w:val="22"/>
          <w:szCs w:val="22"/>
        </w:rPr>
        <w:t xml:space="preserve">Step 6 — Reply and Close of Pleadings: </w:t>
      </w:r>
      <w:r>
        <w:rPr>
          <w:sz w:val="22"/>
          <w:szCs w:val="22"/>
        </w:rPr>
        <w:t xml:space="preserve">The Claimant may file a Reply to the defence. Once pleadings are exchanged and deemed closed, the issues in dispute are said to be joined.</w:t>
      </w:r>
    </w:p>
    <w:p>
      <w:pPr>
        <w:pStyle w:val="ListParagraph"/>
        <w:numPr>
          <w:ilvl w:val="0"/>
          <w:numId w:val="2"/>
        </w:numPr>
        <w:spacing w:after="90" w:line="290"/>
      </w:pPr>
      <w:r>
        <w:rPr>
          <w:b/>
          <w:bCs/>
          <w:sz w:val="22"/>
          <w:szCs w:val="22"/>
        </w:rPr>
        <w:t xml:space="preserve">Step 7 — Interlocutory Applications: </w:t>
      </w:r>
      <w:r>
        <w:rPr>
          <w:sz w:val="22"/>
          <w:szCs w:val="22"/>
        </w:rPr>
        <w:t xml:space="preserve">Either party may file motions before trial — e.g., for injunctions, joinder of parties, amendment of pleadings, or discovery/interrogatories — which the court hears and rules upon as they arise.</w:t>
      </w:r>
    </w:p>
    <w:p>
      <w:pPr>
        <w:pStyle w:val="ListParagraph"/>
        <w:numPr>
          <w:ilvl w:val="0"/>
          <w:numId w:val="2"/>
        </w:numPr>
        <w:spacing w:after="90" w:line="290"/>
      </w:pPr>
      <w:r>
        <w:rPr>
          <w:b/>
          <w:bCs/>
          <w:sz w:val="22"/>
          <w:szCs w:val="22"/>
        </w:rPr>
        <w:t xml:space="preserve">Step 8 — Pre-Trial Conference / Case Management: </w:t>
      </w:r>
      <w:r>
        <w:rPr>
          <w:sz w:val="22"/>
          <w:szCs w:val="22"/>
        </w:rPr>
        <w:t xml:space="preserve">Under most modern Rules (e.g., Lagos, FCT), a mandatory pre-trial conference is held to explore settlement (ADR), narrow the issues, and set a trial timetable, concluding with a Pre-Trial Conference Report.</w:t>
      </w:r>
    </w:p>
    <w:p>
      <w:pPr>
        <w:pStyle w:val="ListParagraph"/>
        <w:numPr>
          <w:ilvl w:val="0"/>
          <w:numId w:val="2"/>
        </w:numPr>
        <w:spacing w:after="90" w:line="290"/>
      </w:pPr>
      <w:r>
        <w:rPr>
          <w:b/>
          <w:bCs/>
          <w:sz w:val="22"/>
          <w:szCs w:val="22"/>
        </w:rPr>
        <w:t xml:space="preserve">Step 9 — Hearing/Trial: </w:t>
      </w:r>
      <w:r>
        <w:rPr>
          <w:sz w:val="22"/>
          <w:szCs w:val="22"/>
        </w:rPr>
        <w:t xml:space="preserve">The Claimant opens by calling witnesses, who are examined-in-chief, cross-examined, and re-examined; documentary evidence is tendered and marked as exhibits. The Defendant follows with their own witnesses. Trial is governed heavily by the Evidence Act 2011.</w:t>
      </w:r>
    </w:p>
    <w:p>
      <w:pPr>
        <w:pStyle w:val="ListParagraph"/>
        <w:numPr>
          <w:ilvl w:val="0"/>
          <w:numId w:val="2"/>
        </w:numPr>
        <w:spacing w:after="90" w:line="290"/>
      </w:pPr>
      <w:r>
        <w:rPr>
          <w:b/>
          <w:bCs/>
          <w:sz w:val="22"/>
          <w:szCs w:val="22"/>
        </w:rPr>
        <w:t xml:space="preserve">Step 10 — Final Written Addresses: </w:t>
      </w:r>
      <w:r>
        <w:rPr>
          <w:sz w:val="22"/>
          <w:szCs w:val="22"/>
        </w:rPr>
        <w:t xml:space="preserve">After evidence closes, parties file and adopt written addresses summarising the facts, evidence, and law in support of their respective positions, before judgment is reserved.</w:t>
      </w:r>
    </w:p>
    <w:p>
      <w:pPr>
        <w:pStyle w:val="ListParagraph"/>
        <w:numPr>
          <w:ilvl w:val="0"/>
          <w:numId w:val="2"/>
        </w:numPr>
        <w:spacing w:after="90" w:line="290"/>
      </w:pPr>
      <w:r>
        <w:rPr>
          <w:b/>
          <w:bCs/>
          <w:sz w:val="22"/>
          <w:szCs w:val="22"/>
        </w:rPr>
        <w:t xml:space="preserve">Step 11 — Judgment: </w:t>
      </w:r>
      <w:r>
        <w:rPr>
          <w:sz w:val="22"/>
          <w:szCs w:val="22"/>
        </w:rPr>
        <w:t xml:space="preserve">The court evaluates the evidence and delivers judgment based on the balance of probabilities, resolving the dispute and, where appropriate, awarding damages, an injunction, specific performance, or a declaration.</w:t>
      </w:r>
    </w:p>
    <w:p>
      <w:pPr>
        <w:pStyle w:val="ListParagraph"/>
        <w:numPr>
          <w:ilvl w:val="0"/>
          <w:numId w:val="2"/>
        </w:numPr>
        <w:spacing w:after="90" w:line="290"/>
      </w:pPr>
      <w:r>
        <w:rPr>
          <w:b/>
          <w:bCs/>
          <w:sz w:val="22"/>
          <w:szCs w:val="22"/>
        </w:rPr>
        <w:t xml:space="preserve">Step 12 — Enforcement of Judgment: </w:t>
      </w:r>
      <w:r>
        <w:rPr>
          <w:sz w:val="22"/>
          <w:szCs w:val="22"/>
        </w:rPr>
        <w:t xml:space="preserve">A successful party may enforce the judgment through processes such as a Writ of Fieri Facias (attachment and sale of the judgment debtor's property), garnishee proceedings, or judgment summons, under the Sheriffs and Civil Process Act.</w:t>
      </w:r>
    </w:p>
    <w:p>
      <w:pPr>
        <w:pStyle w:val="ListParagraph"/>
        <w:numPr>
          <w:ilvl w:val="0"/>
          <w:numId w:val="2"/>
        </w:numPr>
        <w:spacing w:after="90" w:line="290"/>
      </w:pPr>
      <w:r>
        <w:rPr>
          <w:b/>
          <w:bCs/>
          <w:sz w:val="22"/>
          <w:szCs w:val="22"/>
        </w:rPr>
        <w:t xml:space="preserve">Step 13 — Appeal: </w:t>
      </w:r>
      <w:r>
        <w:rPr>
          <w:sz w:val="22"/>
          <w:szCs w:val="22"/>
        </w:rPr>
        <w:t xml:space="preserve">A dissatisfied party may appeal to the Court of Appeal, and ultimately the Supreme Court, within the time prescribed by the Court of Appeal Act and the 1999 Constitution.</w:t>
      </w:r>
    </w:p>
    <w:p>
      <w:pPr>
        <w:pStyle w:val="Heading2"/>
        <w:spacing w:after="120" w:before="260"/>
      </w:pPr>
      <w:r>
        <w:rPr>
          <w:b/>
          <w:bCs/>
          <w:color w:val="8A6D3B"/>
          <w:sz w:val="24"/>
          <w:szCs w:val="24"/>
        </w:rPr>
        <w:t xml:space="preserve">Practical Example — Civil Litigation</w:t>
      </w:r>
    </w:p>
    <w:p>
      <w:pPr>
        <w:spacing w:after="140" w:line="300"/>
      </w:pPr>
      <w:r>
        <w:rPr>
          <w:sz w:val="22"/>
          <w:szCs w:val="22"/>
        </w:rPr>
        <w:t xml:space="preserve">Chidinma supplied fabric worth ₦2,500,000 to a boutique owner, Mrs. Okoye, who has refused to pay despite repeated demands. Chidinma's counsel would: (a) issue a letter of demand; (b) if unresolved, file a Writ of Summons and Statement of Claim at the State High Court with jurisdiction, claiming the debt plus interest; (c) ensure proper service on Mrs. Okoye; (d) proceed through pleadings, pre-trial, trial, and judgment; and (e) if judgment is obtained but unpaid, apply for a garnishee order against Mrs. Okoye's bank account to recover the sum.</w:t>
      </w:r>
    </w:p>
    <w:p>
      <w:pPr>
        <w:pStyle w:val="Heading2"/>
        <w:spacing w:after="120" w:before="260"/>
      </w:pPr>
      <w:r>
        <w:rPr>
          <w:b/>
          <w:bCs/>
          <w:color w:val="8A6D3B"/>
          <w:sz w:val="24"/>
          <w:szCs w:val="24"/>
        </w:rPr>
        <w:t xml:space="preserve">Nigerian Case Studies — Civil Litigation</w:t>
      </w:r>
    </w:p>
    <w:p>
      <w:pPr>
        <w:pBdr>
          <w:left w:val="single" w:color="8A6D3B" w:sz="12" w:space="8"/>
        </w:pBdr>
        <w:spacing w:after="140" w:line="290"/>
        <w:ind w:left="300"/>
      </w:pPr>
      <w:r>
        <w:rPr>
          <w:b/>
          <w:bCs/>
          <w:i/>
          <w:iCs/>
          <w:color w:val="1F3A5F"/>
          <w:sz w:val="22"/>
          <w:szCs w:val="22"/>
        </w:rPr>
        <w:t xml:space="preserve">Mobil Producing (Nig.) Unltd v. Monokpo (2003) 18 NWLR (Pt. 852) 346 — </w:t>
      </w:r>
      <w:r>
        <w:rPr>
          <w:i/>
          <w:iCs/>
          <w:color w:val="3D3D3D"/>
          <w:sz w:val="22"/>
          <w:szCs w:val="22"/>
        </w:rPr>
        <w:t xml:space="preserve">The Supreme Court emphasised that pleadings define and limit the issues to be tried, and parties are bound by their pleadings — evidence at variance with pleadings goes to no issue.</w:t>
      </w:r>
    </w:p>
    <w:p>
      <w:pPr>
        <w:pBdr>
          <w:left w:val="single" w:color="8A6D3B" w:sz="12" w:space="8"/>
        </w:pBdr>
        <w:spacing w:after="140" w:line="290"/>
        <w:ind w:left="300"/>
      </w:pPr>
      <w:r>
        <w:rPr>
          <w:b/>
          <w:bCs/>
          <w:i/>
          <w:iCs/>
          <w:color w:val="1F3A5F"/>
          <w:sz w:val="22"/>
          <w:szCs w:val="22"/>
        </w:rPr>
        <w:t xml:space="preserve">Madukolu v. Nkemdilim (1962) 2 SCNLR 341 — </w:t>
      </w:r>
      <w:r>
        <w:rPr>
          <w:i/>
          <w:iCs/>
          <w:color w:val="3D3D3D"/>
          <w:sz w:val="22"/>
          <w:szCs w:val="22"/>
        </w:rPr>
        <w:t xml:space="preserve">A foundational authority on jurisdiction: a court is only competent when properly constituted, the subject-matter is within its jurisdiction, and the action is initiated by due process of law — failing any of these renders the proceedings a nullity, however well conducted.</w:t>
      </w:r>
    </w:p>
    <w:p>
      <w:pPr>
        <w:pBdr>
          <w:left w:val="single" w:color="8A6D3B" w:sz="12" w:space="8"/>
        </w:pBdr>
        <w:spacing w:after="140" w:line="290"/>
        <w:ind w:left="300"/>
      </w:pPr>
      <w:r>
        <w:rPr>
          <w:b/>
          <w:bCs/>
          <w:i/>
          <w:iCs/>
          <w:color w:val="1F3A5F"/>
          <w:sz w:val="22"/>
          <w:szCs w:val="22"/>
        </w:rPr>
        <w:t xml:space="preserve">Skenconsult (Nig.) Ltd v. Ukey (1981) 1 SC 6 — </w:t>
      </w:r>
      <w:r>
        <w:rPr>
          <w:i/>
          <w:iCs/>
          <w:color w:val="3D3D3D"/>
          <w:sz w:val="22"/>
          <w:szCs w:val="22"/>
        </w:rPr>
        <w:t xml:space="preserve">Held that failure to effect proper service of originating process on a defendant is a fundamental defect that goes to the competence of the proceedings, not a mere irregularity.</w:t>
      </w:r>
    </w:p>
    <w:p>
      <w:pPr>
        <w:pStyle w:val="Heading2"/>
        <w:spacing w:after="120" w:before="260"/>
      </w:pPr>
      <w:r>
        <w:rPr>
          <w:b/>
          <w:bCs/>
          <w:color w:val="8A6D3B"/>
          <w:sz w:val="24"/>
          <w:szCs w:val="24"/>
        </w:rPr>
        <w:t xml:space="preserve">Relevant Statutes — Civil Litigation</w:t>
      </w:r>
    </w:p>
    <w:p>
      <w:pPr>
        <w:pStyle w:val="ListParagraph"/>
        <w:numPr>
          <w:ilvl w:val="0"/>
          <w:numId w:val="3"/>
        </w:numPr>
        <w:spacing w:after="90" w:line="290"/>
      </w:pPr>
      <w:r>
        <w:rPr>
          <w:sz w:val="22"/>
          <w:szCs w:val="22"/>
        </w:rPr>
        <w:t xml:space="preserve">Constitution of the Federal Republic of Nigeria 1999 (as amended) — ss. 6, 36 (fair hearing), and 272 (High Court jurisdiction).</w:t>
      </w:r>
    </w:p>
    <w:p>
      <w:pPr>
        <w:pStyle w:val="ListParagraph"/>
        <w:numPr>
          <w:ilvl w:val="0"/>
          <w:numId w:val="3"/>
        </w:numPr>
        <w:spacing w:after="90" w:line="290"/>
      </w:pPr>
      <w:r>
        <w:rPr>
          <w:sz w:val="22"/>
          <w:szCs w:val="22"/>
        </w:rPr>
        <w:t xml:space="preserve">Evidence Act 2011 — rules of admissibility, examination of witnesses, burden and standard of proof.</w:t>
      </w:r>
    </w:p>
    <w:p>
      <w:pPr>
        <w:pStyle w:val="ListParagraph"/>
        <w:numPr>
          <w:ilvl w:val="0"/>
          <w:numId w:val="3"/>
        </w:numPr>
        <w:spacing w:after="90" w:line="290"/>
      </w:pPr>
      <w:r>
        <w:rPr>
          <w:sz w:val="22"/>
          <w:szCs w:val="22"/>
        </w:rPr>
        <w:t xml:space="preserve">State High Court (Civil Procedure) Rules — e.g., Lagos State High Court (Civil Procedure) Rules 2019, Imo State High Court (Civil Procedure) Rules — govern pleadings, service, and trial procedure.</w:t>
      </w:r>
    </w:p>
    <w:p>
      <w:pPr>
        <w:pStyle w:val="ListParagraph"/>
        <w:numPr>
          <w:ilvl w:val="0"/>
          <w:numId w:val="3"/>
        </w:numPr>
        <w:spacing w:after="90" w:line="290"/>
      </w:pPr>
      <w:r>
        <w:rPr>
          <w:sz w:val="22"/>
          <w:szCs w:val="22"/>
        </w:rPr>
        <w:t xml:space="preserve">Sheriffs and Civil Process Act — governs enforcement of judgments (writs of execution, garnishee proceedings).</w:t>
      </w:r>
    </w:p>
    <w:p>
      <w:pPr>
        <w:pStyle w:val="ListParagraph"/>
        <w:numPr>
          <w:ilvl w:val="0"/>
          <w:numId w:val="3"/>
        </w:numPr>
        <w:spacing w:after="90" w:line="290"/>
      </w:pPr>
      <w:r>
        <w:rPr>
          <w:sz w:val="22"/>
          <w:szCs w:val="22"/>
        </w:rPr>
        <w:t xml:space="preserve">Limitation Law of the relevant State — prescribes time limits for commencing actions.</w:t>
      </w:r>
    </w:p>
    <w:p>
      <w:pPr>
        <w:pStyle w:val="Heading1"/>
        <w:spacing w:after="160" w:before="400"/>
      </w:pPr>
      <w:r>
        <w:rPr>
          <w:b/>
          <w:bCs/>
          <w:color w:val="1F3A5F"/>
          <w:sz w:val="30"/>
          <w:szCs w:val="30"/>
        </w:rPr>
        <w:t xml:space="preserve">3. Steps in Criminal Litigation</w:t>
      </w:r>
    </w:p>
    <w:p>
      <w:pPr>
        <w:spacing w:after="140" w:line="300"/>
      </w:pPr>
      <w:r>
        <w:rPr>
          <w:sz w:val="22"/>
          <w:szCs w:val="22"/>
        </w:rPr>
        <w:t xml:space="preserve">Criminal litigation involves the State (prosecuting in the name of the Federal Republic of Nigeria or the Attorney-General of a State) against a person accused of an offence. Since the Administration of Criminal Justice Act (ACJA) 2015 (applicable in federal matters and adopted, with variations, as the Administration of Criminal Justice Law (ACJL) in many States), procedure has become more standardised and rights-focused.</w:t>
      </w:r>
    </w:p>
    <w:p>
      <w:pPr>
        <w:pStyle w:val="ListParagraph"/>
        <w:numPr>
          <w:ilvl w:val="0"/>
          <w:numId w:val="2"/>
        </w:numPr>
        <w:spacing w:after="90" w:line="290"/>
      </w:pPr>
      <w:r>
        <w:rPr>
          <w:b/>
          <w:bCs/>
          <w:sz w:val="22"/>
          <w:szCs w:val="22"/>
        </w:rPr>
        <w:t xml:space="preserve">Step 1 — Report/Complaint and Investigation: </w:t>
      </w:r>
      <w:r>
        <w:rPr>
          <w:sz w:val="22"/>
          <w:szCs w:val="22"/>
        </w:rPr>
        <w:t xml:space="preserve">A crime is reported to the Police (or another agency, e.g., EFCC, ICPC) who investigate, gather evidence, and take statements. Under the ACJA, investigation must be conducted diligently and within reasonable time (ss. 3–5, ACJA).</w:t>
      </w:r>
    </w:p>
    <w:p>
      <w:pPr>
        <w:pStyle w:val="ListParagraph"/>
        <w:numPr>
          <w:ilvl w:val="0"/>
          <w:numId w:val="2"/>
        </w:numPr>
        <w:spacing w:after="90" w:line="290"/>
      </w:pPr>
      <w:r>
        <w:rPr>
          <w:b/>
          <w:bCs/>
          <w:sz w:val="22"/>
          <w:szCs w:val="22"/>
        </w:rPr>
        <w:t xml:space="preserve">Step 2 — Arrest: </w:t>
      </w:r>
      <w:r>
        <w:rPr>
          <w:sz w:val="22"/>
          <w:szCs w:val="22"/>
        </w:rPr>
        <w:t xml:space="preserve">The suspect is arrested, with or without a warrant depending on the circumstances, subject to constitutional safeguards — the right to be informed of the reason for arrest and the right to remain silent (s. 35, 1999 Constitution; ss. 6–7, ACJA).</w:t>
      </w:r>
    </w:p>
    <w:p>
      <w:pPr>
        <w:pStyle w:val="ListParagraph"/>
        <w:numPr>
          <w:ilvl w:val="0"/>
          <w:numId w:val="2"/>
        </w:numPr>
        <w:spacing w:after="90" w:line="290"/>
      </w:pPr>
      <w:r>
        <w:rPr>
          <w:b/>
          <w:bCs/>
          <w:sz w:val="22"/>
          <w:szCs w:val="22"/>
        </w:rPr>
        <w:t xml:space="preserve">Step 3 — Detention and Right to Bail (Pre-Trial): </w:t>
      </w:r>
      <w:r>
        <w:rPr>
          <w:sz w:val="22"/>
          <w:szCs w:val="22"/>
        </w:rPr>
        <w:t xml:space="preserve">A suspect must be arraigned in court within a reasonable time (ordinarily within 24–48 hours, subject to distance/circumstance) or released on administrative bail; the ACJA also introduced the Central Criminal Records Registry and administrative bail safeguards to curb prolonged detention (s. 35, Constitution; ss. 8, 30, ACJA).</w:t>
      </w:r>
    </w:p>
    <w:p>
      <w:pPr>
        <w:pStyle w:val="ListParagraph"/>
        <w:numPr>
          <w:ilvl w:val="0"/>
          <w:numId w:val="2"/>
        </w:numPr>
        <w:spacing w:after="90" w:line="290"/>
      </w:pPr>
      <w:r>
        <w:rPr>
          <w:b/>
          <w:bCs/>
          <w:sz w:val="22"/>
          <w:szCs w:val="22"/>
        </w:rPr>
        <w:t xml:space="preserve">Step 4 — Arraignment/Charge: </w:t>
      </w:r>
      <w:r>
        <w:rPr>
          <w:sz w:val="22"/>
          <w:szCs w:val="22"/>
        </w:rPr>
        <w:t xml:space="preserve">The accused is brought before a court of competent jurisdiction, the charge or information is read and explained in a language the accused understands, and a plea is taken (s. 36(6)(a), Constitution; ss. 187–191, ACJA).</w:t>
      </w:r>
    </w:p>
    <w:p>
      <w:pPr>
        <w:pStyle w:val="ListParagraph"/>
        <w:numPr>
          <w:ilvl w:val="0"/>
          <w:numId w:val="2"/>
        </w:numPr>
        <w:spacing w:after="90" w:line="290"/>
      </w:pPr>
      <w:r>
        <w:rPr>
          <w:b/>
          <w:bCs/>
          <w:sz w:val="22"/>
          <w:szCs w:val="22"/>
        </w:rPr>
        <w:t xml:space="preserve">Step 5 — Plea: </w:t>
      </w:r>
      <w:r>
        <w:rPr>
          <w:sz w:val="22"/>
          <w:szCs w:val="22"/>
        </w:rPr>
        <w:t xml:space="preserve">If the accused pleads guilty to a minor offence, the court may proceed to convict and sentence once satisfied the plea is unequivocal. If not guilty, the matter proceeds to trial. The ACJA also formally introduced Plea Bargain (ss. 270–277, ACJA) as a means of resolving certain cases.</w:t>
      </w:r>
    </w:p>
    <w:p>
      <w:pPr>
        <w:pStyle w:val="ListParagraph"/>
        <w:numPr>
          <w:ilvl w:val="0"/>
          <w:numId w:val="2"/>
        </w:numPr>
        <w:spacing w:after="90" w:line="290"/>
      </w:pPr>
      <w:r>
        <w:rPr>
          <w:b/>
          <w:bCs/>
          <w:sz w:val="22"/>
          <w:szCs w:val="22"/>
        </w:rPr>
        <w:t xml:space="preserve">Step 6 — Bail Application: </w:t>
      </w:r>
      <w:r>
        <w:rPr>
          <w:sz w:val="22"/>
          <w:szCs w:val="22"/>
        </w:rPr>
        <w:t xml:space="preserve">Where not on administrative bail, the accused may apply for bail pending trial; bail is generally a right in bailable offences and discretionary (subject to conditions) for serious offences such as murder, treason, and armed robbery (ss. 158–188, ACJA).</w:t>
      </w:r>
    </w:p>
    <w:p>
      <w:pPr>
        <w:pStyle w:val="ListParagraph"/>
        <w:numPr>
          <w:ilvl w:val="0"/>
          <w:numId w:val="2"/>
        </w:numPr>
        <w:spacing w:after="90" w:line="290"/>
      </w:pPr>
      <w:r>
        <w:rPr>
          <w:b/>
          <w:bCs/>
          <w:sz w:val="22"/>
          <w:szCs w:val="22"/>
        </w:rPr>
        <w:t xml:space="preserve">Step 7 — Trial: </w:t>
      </w:r>
      <w:r>
        <w:rPr>
          <w:sz w:val="22"/>
          <w:szCs w:val="22"/>
        </w:rPr>
        <w:t xml:space="preserve">The prosecution opens and must prove its case beyond reasonable doubt, calling witnesses subject to examination-in-chief, cross-examination, and re-examination, and tendering exhibits, governed by the Evidence Act 2011. At the close of the prosecution's case, the defence may make a No-Case Submission; if overruled, the defence opens its case.</w:t>
      </w:r>
    </w:p>
    <w:p>
      <w:pPr>
        <w:pStyle w:val="ListParagraph"/>
        <w:numPr>
          <w:ilvl w:val="0"/>
          <w:numId w:val="2"/>
        </w:numPr>
        <w:spacing w:after="90" w:line="290"/>
      </w:pPr>
      <w:r>
        <w:rPr>
          <w:b/>
          <w:bCs/>
          <w:sz w:val="22"/>
          <w:szCs w:val="22"/>
        </w:rPr>
        <w:t xml:space="preserve">Step 8 — Final Addresses: </w:t>
      </w:r>
      <w:r>
        <w:rPr>
          <w:sz w:val="22"/>
          <w:szCs w:val="22"/>
        </w:rPr>
        <w:t xml:space="preserve">Both prosecution and defence counsel address the court, summarising the evidence and applicable law.</w:t>
      </w:r>
    </w:p>
    <w:p>
      <w:pPr>
        <w:pStyle w:val="ListParagraph"/>
        <w:numPr>
          <w:ilvl w:val="0"/>
          <w:numId w:val="2"/>
        </w:numPr>
        <w:spacing w:after="90" w:line="290"/>
      </w:pPr>
      <w:r>
        <w:rPr>
          <w:b/>
          <w:bCs/>
          <w:sz w:val="22"/>
          <w:szCs w:val="22"/>
        </w:rPr>
        <w:t xml:space="preserve">Step 9 — Judgment/Verdict: </w:t>
      </w:r>
      <w:r>
        <w:rPr>
          <w:sz w:val="22"/>
          <w:szCs w:val="22"/>
        </w:rPr>
        <w:t xml:space="preserve">The court evaluates the evidence against the ingredients of the offence charged and delivers a verdict of guilty or not guilty. An acquitted accused is discharged; a convicted accused proceeds to sentencing (allocutus is taken before sentencing).</w:t>
      </w:r>
    </w:p>
    <w:p>
      <w:pPr>
        <w:pStyle w:val="ListParagraph"/>
        <w:numPr>
          <w:ilvl w:val="0"/>
          <w:numId w:val="2"/>
        </w:numPr>
        <w:spacing w:after="90" w:line="290"/>
      </w:pPr>
      <w:r>
        <w:rPr>
          <w:b/>
          <w:bCs/>
          <w:sz w:val="22"/>
          <w:szCs w:val="22"/>
        </w:rPr>
        <w:t xml:space="preserve">Step 10 — Sentencing: </w:t>
      </w:r>
      <w:r>
        <w:rPr>
          <w:sz w:val="22"/>
          <w:szCs w:val="22"/>
        </w:rPr>
        <w:t xml:space="preserve">The court pronounces sentence in line with the punishment prescribed by the relevant statute (Criminal Code, Penal Code, or special statutes such as the EFCC Act), taking into account allocutus and mitigating/aggravating factors.</w:t>
      </w:r>
    </w:p>
    <w:p>
      <w:pPr>
        <w:pStyle w:val="ListParagraph"/>
        <w:numPr>
          <w:ilvl w:val="0"/>
          <w:numId w:val="2"/>
        </w:numPr>
        <w:spacing w:after="90" w:line="290"/>
      </w:pPr>
      <w:r>
        <w:rPr>
          <w:b/>
          <w:bCs/>
          <w:sz w:val="22"/>
          <w:szCs w:val="22"/>
        </w:rPr>
        <w:t xml:space="preserve">Step 11 — Appeal: </w:t>
      </w:r>
      <w:r>
        <w:rPr>
          <w:sz w:val="22"/>
          <w:szCs w:val="22"/>
        </w:rPr>
        <w:t xml:space="preserve">A convicted person (or the prosecution, in limited circumstances) may appeal to the Court of Appeal and thereafter the Supreme Court against conviction and/or sentence, within the time allowed by law.</w:t>
      </w:r>
    </w:p>
    <w:p>
      <w:pPr>
        <w:pStyle w:val="Heading2"/>
        <w:spacing w:after="120" w:before="260"/>
      </w:pPr>
      <w:r>
        <w:rPr>
          <w:b/>
          <w:bCs/>
          <w:color w:val="8A6D3B"/>
          <w:sz w:val="24"/>
          <w:szCs w:val="24"/>
        </w:rPr>
        <w:t xml:space="preserve">Practical Scenario — Criminal Litigation</w:t>
      </w:r>
    </w:p>
    <w:p>
      <w:pPr>
        <w:spacing w:after="140" w:line="300"/>
      </w:pPr>
      <w:r>
        <w:rPr>
          <w:sz w:val="22"/>
          <w:szCs w:val="22"/>
        </w:rPr>
        <w:t xml:space="preserve">Emeka is arrested by the Police for allegedly stealing a generator. Under the ACJA: the Police must inform him of the reason for arrest, record his statement (ideally on video/audio where practicable, per s. 15 ACJA), and either grant him administrative bail for a minor offence or arraign him before a Magistrate within a reasonable time. At arraignment, the charge is read to him; he pleads not guilty; the matter is fixed for trial where the prosecution must prove, beyond reasonable doubt, that he took the generator dishonestly and without the owner's consent (elements of stealing under the Criminal Code).</w:t>
      </w:r>
    </w:p>
    <w:p>
      <w:pPr>
        <w:pStyle w:val="Heading2"/>
        <w:spacing w:after="120" w:before="260"/>
      </w:pPr>
      <w:r>
        <w:rPr>
          <w:b/>
          <w:bCs/>
          <w:color w:val="8A6D3B"/>
          <w:sz w:val="24"/>
          <w:szCs w:val="24"/>
        </w:rPr>
        <w:t xml:space="preserve">Nigerian Case Studies — Criminal Litigation</w:t>
      </w:r>
    </w:p>
    <w:p>
      <w:pPr>
        <w:pBdr>
          <w:left w:val="single" w:color="8A6D3B" w:sz="12" w:space="8"/>
        </w:pBdr>
        <w:spacing w:after="140" w:line="290"/>
        <w:ind w:left="300"/>
      </w:pPr>
      <w:r>
        <w:rPr>
          <w:b/>
          <w:bCs/>
          <w:i/>
          <w:iCs/>
          <w:color w:val="1F3A5F"/>
          <w:sz w:val="22"/>
          <w:szCs w:val="22"/>
        </w:rPr>
        <w:t xml:space="preserve">Woolmington v. DPP (1935) AC 462 (persuasive; adopted in Nigerian criminal jurisprudence) — </w:t>
      </w:r>
      <w:r>
        <w:rPr>
          <w:i/>
          <w:iCs/>
          <w:color w:val="3D3D3D"/>
          <w:sz w:val="22"/>
          <w:szCs w:val="22"/>
        </w:rPr>
        <w:t xml:space="preserve">Established the golden thread that the burden of proving the guilt of the accused beyond reasonable doubt lies throughout on the prosecution, a principle consistently applied by Nigerian courts.</w:t>
      </w:r>
    </w:p>
    <w:p>
      <w:pPr>
        <w:pBdr>
          <w:left w:val="single" w:color="8A6D3B" w:sz="12" w:space="8"/>
        </w:pBdr>
        <w:spacing w:after="140" w:line="290"/>
        <w:ind w:left="300"/>
      </w:pPr>
      <w:r>
        <w:rPr>
          <w:b/>
          <w:bCs/>
          <w:i/>
          <w:iCs/>
          <w:color w:val="1F3A5F"/>
          <w:sz w:val="22"/>
          <w:szCs w:val="22"/>
        </w:rPr>
        <w:t xml:space="preserve">State v. Fatai Azeez &amp; Ors (2008) 14 NWLR (Pt. 1108) 439 — </w:t>
      </w:r>
      <w:r>
        <w:rPr>
          <w:i/>
          <w:iCs/>
          <w:color w:val="3D3D3D"/>
          <w:sz w:val="22"/>
          <w:szCs w:val="22"/>
        </w:rPr>
        <w:t xml:space="preserve">The Supreme Court restated that for a conviction to stand, the prosecution must prove every ingredient of the offence charged beyond reasonable doubt; any material doubt is resolved in favour of the accused.</w:t>
      </w:r>
    </w:p>
    <w:p>
      <w:pPr>
        <w:pBdr>
          <w:left w:val="single" w:color="8A6D3B" w:sz="12" w:space="8"/>
        </w:pBdr>
        <w:spacing w:after="140" w:line="290"/>
        <w:ind w:left="300"/>
      </w:pPr>
      <w:r>
        <w:rPr>
          <w:b/>
          <w:bCs/>
          <w:i/>
          <w:iCs/>
          <w:color w:val="1F3A5F"/>
          <w:sz w:val="22"/>
          <w:szCs w:val="22"/>
        </w:rPr>
        <w:t xml:space="preserve">FRN v. Nganjiwa (2018) LPELR-43926(CA) — </w:t>
      </w:r>
      <w:r>
        <w:rPr>
          <w:i/>
          <w:iCs/>
          <w:color w:val="3D3D3D"/>
          <w:sz w:val="22"/>
          <w:szCs w:val="22"/>
        </w:rPr>
        <w:t xml:space="preserve">Addressed the constitutional/procedural requirements around the prosecution of judicial officers, illustrating the interplay between constitutional provisions and the ACJA in criminal process.</w:t>
      </w:r>
    </w:p>
    <w:p>
      <w:pPr>
        <w:pStyle w:val="Heading2"/>
        <w:spacing w:after="120" w:before="260"/>
      </w:pPr>
      <w:r>
        <w:rPr>
          <w:b/>
          <w:bCs/>
          <w:color w:val="8A6D3B"/>
          <w:sz w:val="24"/>
          <w:szCs w:val="24"/>
        </w:rPr>
        <w:t xml:space="preserve">Relevant Statutes — Criminal Litigation</w:t>
      </w:r>
    </w:p>
    <w:p>
      <w:pPr>
        <w:pStyle w:val="ListParagraph"/>
        <w:numPr>
          <w:ilvl w:val="0"/>
          <w:numId w:val="3"/>
        </w:numPr>
        <w:spacing w:after="90" w:line="290"/>
      </w:pPr>
      <w:r>
        <w:rPr>
          <w:sz w:val="22"/>
          <w:szCs w:val="22"/>
        </w:rPr>
        <w:t xml:space="preserve">Constitution of the Federal Republic of Nigeria 1999 (as amended) — ss. 35 (personal liberty), 36 (fair hearing, presumption of innocence).</w:t>
      </w:r>
    </w:p>
    <w:p>
      <w:pPr>
        <w:pStyle w:val="ListParagraph"/>
        <w:numPr>
          <w:ilvl w:val="0"/>
          <w:numId w:val="3"/>
        </w:numPr>
        <w:spacing w:after="90" w:line="290"/>
      </w:pPr>
      <w:r>
        <w:rPr>
          <w:sz w:val="22"/>
          <w:szCs w:val="22"/>
        </w:rPr>
        <w:t xml:space="preserve">Administration of Criminal Justice Act (ACJA) 2015 (and corresponding State ACJ Laws) — governs arrest, investigation, arraignment, bail, trial, and sentencing.</w:t>
      </w:r>
    </w:p>
    <w:p>
      <w:pPr>
        <w:pStyle w:val="ListParagraph"/>
        <w:numPr>
          <w:ilvl w:val="0"/>
          <w:numId w:val="3"/>
        </w:numPr>
        <w:spacing w:after="90" w:line="290"/>
      </w:pPr>
      <w:r>
        <w:rPr>
          <w:sz w:val="22"/>
          <w:szCs w:val="22"/>
        </w:rPr>
        <w:t xml:space="preserve">Evidence Act 2011 — admissibility of evidence, confessional statements, standard of proof.</w:t>
      </w:r>
    </w:p>
    <w:p>
      <w:pPr>
        <w:pStyle w:val="ListParagraph"/>
        <w:numPr>
          <w:ilvl w:val="0"/>
          <w:numId w:val="3"/>
        </w:numPr>
        <w:spacing w:after="90" w:line="290"/>
      </w:pPr>
      <w:r>
        <w:rPr>
          <w:sz w:val="22"/>
          <w:szCs w:val="22"/>
        </w:rPr>
        <w:t xml:space="preserve">Criminal Code Act (Southern Nigeria) / Penal Code Act (Northern Nigeria) — define offences and prescribe punishments.</w:t>
      </w:r>
    </w:p>
    <w:p>
      <w:pPr>
        <w:pStyle w:val="ListParagraph"/>
        <w:numPr>
          <w:ilvl w:val="0"/>
          <w:numId w:val="3"/>
        </w:numPr>
        <w:spacing w:after="90" w:line="290"/>
      </w:pPr>
      <w:r>
        <w:rPr>
          <w:sz w:val="22"/>
          <w:szCs w:val="22"/>
        </w:rPr>
        <w:t xml:space="preserve">Police Act 2020 and Economic and Financial Crimes Commission (EFCC) Act — govern specific investigative/prosecutorial agencies.</w:t>
      </w:r>
    </w:p>
    <w:p>
      <w:pPr>
        <w:pStyle w:val="Heading1"/>
        <w:spacing w:after="160" w:before="400"/>
      </w:pPr>
      <w:r>
        <w:rPr>
          <w:b/>
          <w:bCs/>
          <w:color w:val="1F3A5F"/>
          <w:sz w:val="30"/>
          <w:szCs w:val="30"/>
        </w:rPr>
        <w:t xml:space="preserve">4. Comparison Table: Civil vs. Criminal Litigation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4000"/>
      </w:tblGrid>
      <w:tr>
        <w:trPr>
          <w:tblHeader/>
        </w:trPr>
        <w:tc>
          <w:tcPr>
            <w:tcW w:type="dxa" w:w="2200"/>
            <w:shd w:fill="1F3A5F" w:val="clear"/>
            <w:tcMar>
              <w:top w:type="dxa" w:w="100"/>
              <w:left w:type="dxa" w:w="120"/>
              <w:bottom w:type="dxa" w:w="100"/>
              <w:right w:type="dxa" w:w="120"/>
            </w:tcMar>
          </w:tcPr>
          <w:p>
            <w:pPr>
              <w:jc w:val="left"/>
            </w:pPr>
            <w:r>
              <w:rPr>
                <w:b/>
                <w:bCs/>
                <w:color w:val="FFFFFF"/>
                <w:sz w:val="20"/>
                <w:szCs w:val="20"/>
              </w:rPr>
              <w:t xml:space="preserve">Basis</w:t>
            </w:r>
          </w:p>
        </w:tc>
        <w:tc>
          <w:tcPr>
            <w:tcW w:type="dxa" w:w="4000"/>
            <w:shd w:fill="1F3A5F" w:val="clear"/>
            <w:tcMar>
              <w:top w:type="dxa" w:w="100"/>
              <w:left w:type="dxa" w:w="120"/>
              <w:bottom w:type="dxa" w:w="100"/>
              <w:right w:type="dxa" w:w="120"/>
            </w:tcMar>
          </w:tcPr>
          <w:p>
            <w:pPr>
              <w:jc w:val="left"/>
            </w:pPr>
            <w:r>
              <w:rPr>
                <w:b/>
                <w:bCs/>
                <w:color w:val="FFFFFF"/>
                <w:sz w:val="20"/>
                <w:szCs w:val="20"/>
              </w:rPr>
              <w:t xml:space="preserve">Civil Litigation</w:t>
            </w:r>
          </w:p>
        </w:tc>
        <w:tc>
          <w:tcPr>
            <w:tcW w:type="dxa" w:w="4000"/>
            <w:shd w:fill="1F3A5F" w:val="clear"/>
            <w:tcMar>
              <w:top w:type="dxa" w:w="100"/>
              <w:left w:type="dxa" w:w="120"/>
              <w:bottom w:type="dxa" w:w="100"/>
              <w:right w:type="dxa" w:w="120"/>
            </w:tcMar>
          </w:tcPr>
          <w:p>
            <w:pPr>
              <w:jc w:val="left"/>
            </w:pPr>
            <w:r>
              <w:rPr>
                <w:b/>
                <w:bCs/>
                <w:color w:val="FFFFFF"/>
                <w:sz w:val="20"/>
                <w:szCs w:val="20"/>
              </w:rPr>
              <w:t xml:space="preserve">Criminal Litigation</w:t>
            </w:r>
          </w:p>
        </w:tc>
      </w:tr>
      <w:tr>
        <w:trPr>
          <w:tblHeader w:val="false"/>
        </w:trPr>
        <w:tc>
          <w:tcPr>
            <w:tcW w:type="dxa" w:w="2200"/>
            <w:tcMar>
              <w:top w:type="dxa" w:w="100"/>
              <w:left w:type="dxa" w:w="120"/>
              <w:bottom w:type="dxa" w:w="100"/>
              <w:right w:type="dxa" w:w="120"/>
            </w:tcMar>
          </w:tcPr>
          <w:p>
            <w:pPr>
              <w:jc w:val="left"/>
            </w:pPr>
            <w:r>
              <w:rPr>
                <w:b w:val="false"/>
                <w:bCs w:val="false"/>
                <w:color w:val="222222"/>
                <w:sz w:val="20"/>
                <w:szCs w:val="20"/>
              </w:rPr>
              <w:t xml:space="preserve">Parties</w:t>
            </w:r>
          </w:p>
        </w:tc>
        <w:tc>
          <w:tcPr>
            <w:tcW w:type="dxa" w:w="4000"/>
            <w:tcMar>
              <w:top w:type="dxa" w:w="100"/>
              <w:left w:type="dxa" w:w="120"/>
              <w:bottom w:type="dxa" w:w="100"/>
              <w:right w:type="dxa" w:w="120"/>
            </w:tcMar>
          </w:tcPr>
          <w:p>
            <w:pPr>
              <w:jc w:val="left"/>
            </w:pPr>
            <w:r>
              <w:rPr>
                <w:b w:val="false"/>
                <w:bCs w:val="false"/>
                <w:color w:val="222222"/>
                <w:sz w:val="20"/>
                <w:szCs w:val="20"/>
              </w:rPr>
              <w:t xml:space="preserve">Claimant/Plaintiff v. Defendant</w:t>
            </w:r>
          </w:p>
        </w:tc>
        <w:tc>
          <w:tcPr>
            <w:tcW w:type="dxa" w:w="4000"/>
            <w:tcMar>
              <w:top w:type="dxa" w:w="100"/>
              <w:left w:type="dxa" w:w="120"/>
              <w:bottom w:type="dxa" w:w="100"/>
              <w:right w:type="dxa" w:w="120"/>
            </w:tcMar>
          </w:tcPr>
          <w:p>
            <w:pPr>
              <w:jc w:val="left"/>
            </w:pPr>
            <w:r>
              <w:rPr>
                <w:b w:val="false"/>
                <w:bCs w:val="false"/>
                <w:color w:val="222222"/>
                <w:sz w:val="20"/>
                <w:szCs w:val="20"/>
              </w:rPr>
              <w:t xml:space="preserve">State/Federal Republic of Nigeria v. Defendant/Accused</w:t>
            </w:r>
          </w:p>
        </w:tc>
      </w:tr>
      <w:tr>
        <w:trPr>
          <w:tblHeader w:val="false"/>
        </w:trPr>
        <w:tc>
          <w:tcPr>
            <w:tcW w:type="dxa" w:w="2200"/>
            <w:shd w:fill="F2F2F2" w:val="clear"/>
            <w:tcMar>
              <w:top w:type="dxa" w:w="100"/>
              <w:left w:type="dxa" w:w="120"/>
              <w:bottom w:type="dxa" w:w="100"/>
              <w:right w:type="dxa" w:w="120"/>
            </w:tcMar>
          </w:tcPr>
          <w:p>
            <w:pPr>
              <w:jc w:val="left"/>
            </w:pPr>
            <w:r>
              <w:rPr>
                <w:b w:val="false"/>
                <w:bCs w:val="false"/>
                <w:color w:val="FFFFFF"/>
                <w:sz w:val="20"/>
                <w:szCs w:val="20"/>
              </w:rPr>
              <w:t xml:space="preserve">Purpose</w:t>
            </w:r>
          </w:p>
        </w:tc>
        <w:tc>
          <w:tcPr>
            <w:tcW w:type="dxa" w:w="4000"/>
            <w:shd w:fill="F2F2F2" w:val="clear"/>
            <w:tcMar>
              <w:top w:type="dxa" w:w="100"/>
              <w:left w:type="dxa" w:w="120"/>
              <w:bottom w:type="dxa" w:w="100"/>
              <w:right w:type="dxa" w:w="120"/>
            </w:tcMar>
          </w:tcPr>
          <w:p>
            <w:pPr>
              <w:jc w:val="left"/>
            </w:pPr>
            <w:r>
              <w:rPr>
                <w:b w:val="false"/>
                <w:bCs w:val="false"/>
                <w:color w:val="FFFFFF"/>
                <w:sz w:val="20"/>
                <w:szCs w:val="20"/>
              </w:rPr>
              <w:t xml:space="preserve">To enforce a private right or claim damages/remedy</w:t>
            </w:r>
          </w:p>
        </w:tc>
        <w:tc>
          <w:tcPr>
            <w:tcW w:type="dxa" w:w="4000"/>
            <w:shd w:fill="F2F2F2" w:val="clear"/>
            <w:tcMar>
              <w:top w:type="dxa" w:w="100"/>
              <w:left w:type="dxa" w:w="120"/>
              <w:bottom w:type="dxa" w:w="100"/>
              <w:right w:type="dxa" w:w="120"/>
            </w:tcMar>
          </w:tcPr>
          <w:p>
            <w:pPr>
              <w:jc w:val="left"/>
            </w:pPr>
            <w:r>
              <w:rPr>
                <w:b w:val="false"/>
                <w:bCs w:val="false"/>
                <w:color w:val="FFFFFF"/>
                <w:sz w:val="20"/>
                <w:szCs w:val="20"/>
              </w:rPr>
              <w:t xml:space="preserve">To punish an offence against the State/society</w:t>
            </w:r>
          </w:p>
        </w:tc>
      </w:tr>
      <w:tr>
        <w:trPr>
          <w:tblHeader w:val="false"/>
        </w:trPr>
        <w:tc>
          <w:tcPr>
            <w:tcW w:type="dxa" w:w="2200"/>
            <w:tcMar>
              <w:top w:type="dxa" w:w="100"/>
              <w:left w:type="dxa" w:w="120"/>
              <w:bottom w:type="dxa" w:w="100"/>
              <w:right w:type="dxa" w:w="120"/>
            </w:tcMar>
          </w:tcPr>
          <w:p>
            <w:pPr>
              <w:jc w:val="left"/>
            </w:pPr>
            <w:r>
              <w:rPr>
                <w:b w:val="false"/>
                <w:bCs w:val="false"/>
                <w:color w:val="222222"/>
                <w:sz w:val="20"/>
                <w:szCs w:val="20"/>
              </w:rPr>
              <w:t xml:space="preserve">Commencement</w:t>
            </w:r>
          </w:p>
        </w:tc>
        <w:tc>
          <w:tcPr>
            <w:tcW w:type="dxa" w:w="4000"/>
            <w:tcMar>
              <w:top w:type="dxa" w:w="100"/>
              <w:left w:type="dxa" w:w="120"/>
              <w:bottom w:type="dxa" w:w="100"/>
              <w:right w:type="dxa" w:w="120"/>
            </w:tcMar>
          </w:tcPr>
          <w:p>
            <w:pPr>
              <w:jc w:val="left"/>
            </w:pPr>
            <w:r>
              <w:rPr>
                <w:b w:val="false"/>
                <w:bCs w:val="false"/>
                <w:color w:val="222222"/>
                <w:sz w:val="20"/>
                <w:szCs w:val="20"/>
              </w:rPr>
              <w:t xml:space="preserve">Writ of Summons, Originating Summons, or Complaint</w:t>
            </w:r>
          </w:p>
        </w:tc>
        <w:tc>
          <w:tcPr>
            <w:tcW w:type="dxa" w:w="4000"/>
            <w:tcMar>
              <w:top w:type="dxa" w:w="100"/>
              <w:left w:type="dxa" w:w="120"/>
              <w:bottom w:type="dxa" w:w="100"/>
              <w:right w:type="dxa" w:w="120"/>
            </w:tcMar>
          </w:tcPr>
          <w:p>
            <w:pPr>
              <w:jc w:val="left"/>
            </w:pPr>
            <w:r>
              <w:rPr>
                <w:b w:val="false"/>
                <w:bCs w:val="false"/>
                <w:color w:val="222222"/>
                <w:sz w:val="20"/>
                <w:szCs w:val="20"/>
              </w:rPr>
              <w:t xml:space="preserve">Charge, Information, or Complaint before a Magistrate</w:t>
            </w:r>
          </w:p>
        </w:tc>
      </w:tr>
      <w:tr>
        <w:trPr>
          <w:tblHeader w:val="false"/>
        </w:trPr>
        <w:tc>
          <w:tcPr>
            <w:tcW w:type="dxa" w:w="2200"/>
            <w:shd w:fill="F2F2F2" w:val="clear"/>
            <w:tcMar>
              <w:top w:type="dxa" w:w="100"/>
              <w:left w:type="dxa" w:w="120"/>
              <w:bottom w:type="dxa" w:w="100"/>
              <w:right w:type="dxa" w:w="120"/>
            </w:tcMar>
          </w:tcPr>
          <w:p>
            <w:pPr>
              <w:jc w:val="left"/>
            </w:pPr>
            <w:r>
              <w:rPr>
                <w:b w:val="false"/>
                <w:bCs w:val="false"/>
                <w:color w:val="FFFFFF"/>
                <w:sz w:val="20"/>
                <w:szCs w:val="20"/>
              </w:rPr>
              <w:t xml:space="preserve">Standard of Proof</w:t>
            </w:r>
          </w:p>
        </w:tc>
        <w:tc>
          <w:tcPr>
            <w:tcW w:type="dxa" w:w="4000"/>
            <w:shd w:fill="F2F2F2" w:val="clear"/>
            <w:tcMar>
              <w:top w:type="dxa" w:w="100"/>
              <w:left w:type="dxa" w:w="120"/>
              <w:bottom w:type="dxa" w:w="100"/>
              <w:right w:type="dxa" w:w="120"/>
            </w:tcMar>
          </w:tcPr>
          <w:p>
            <w:pPr>
              <w:jc w:val="left"/>
            </w:pPr>
            <w:r>
              <w:rPr>
                <w:b w:val="false"/>
                <w:bCs w:val="false"/>
                <w:color w:val="FFFFFF"/>
                <w:sz w:val="20"/>
                <w:szCs w:val="20"/>
              </w:rPr>
              <w:t xml:space="preserve">Balance of probabilities (preponderance of evidence)</w:t>
            </w:r>
          </w:p>
        </w:tc>
        <w:tc>
          <w:tcPr>
            <w:tcW w:type="dxa" w:w="4000"/>
            <w:shd w:fill="F2F2F2" w:val="clear"/>
            <w:tcMar>
              <w:top w:type="dxa" w:w="100"/>
              <w:left w:type="dxa" w:w="120"/>
              <w:bottom w:type="dxa" w:w="100"/>
              <w:right w:type="dxa" w:w="120"/>
            </w:tcMar>
          </w:tcPr>
          <w:p>
            <w:pPr>
              <w:jc w:val="left"/>
            </w:pPr>
            <w:r>
              <w:rPr>
                <w:b w:val="false"/>
                <w:bCs w:val="false"/>
                <w:color w:val="FFFFFF"/>
                <w:sz w:val="20"/>
                <w:szCs w:val="20"/>
              </w:rPr>
              <w:t xml:space="preserve">Proof beyond reasonable doubt</w:t>
            </w:r>
          </w:p>
        </w:tc>
      </w:tr>
      <w:tr>
        <w:trPr>
          <w:tblHeader w:val="false"/>
        </w:trPr>
        <w:tc>
          <w:tcPr>
            <w:tcW w:type="dxa" w:w="2200"/>
            <w:tcMar>
              <w:top w:type="dxa" w:w="100"/>
              <w:left w:type="dxa" w:w="120"/>
              <w:bottom w:type="dxa" w:w="100"/>
              <w:right w:type="dxa" w:w="120"/>
            </w:tcMar>
          </w:tcPr>
          <w:p>
            <w:pPr>
              <w:jc w:val="left"/>
            </w:pPr>
            <w:r>
              <w:rPr>
                <w:b w:val="false"/>
                <w:bCs w:val="false"/>
                <w:color w:val="222222"/>
                <w:sz w:val="20"/>
                <w:szCs w:val="20"/>
              </w:rPr>
              <w:t xml:space="preserve">Governing Law</w:t>
            </w:r>
          </w:p>
        </w:tc>
        <w:tc>
          <w:tcPr>
            <w:tcW w:type="dxa" w:w="4000"/>
            <w:tcMar>
              <w:top w:type="dxa" w:w="100"/>
              <w:left w:type="dxa" w:w="120"/>
              <w:bottom w:type="dxa" w:w="100"/>
              <w:right w:type="dxa" w:w="120"/>
            </w:tcMar>
          </w:tcPr>
          <w:p>
            <w:pPr>
              <w:jc w:val="left"/>
            </w:pPr>
            <w:r>
              <w:rPr>
                <w:b w:val="false"/>
                <w:bCs w:val="false"/>
                <w:color w:val="222222"/>
                <w:sz w:val="20"/>
                <w:szCs w:val="20"/>
              </w:rPr>
              <w:t xml:space="preserve">High Court (Civil Procedure) Rules; Evidence Act</w:t>
            </w:r>
          </w:p>
        </w:tc>
        <w:tc>
          <w:tcPr>
            <w:tcW w:type="dxa" w:w="4000"/>
            <w:tcMar>
              <w:top w:type="dxa" w:w="100"/>
              <w:left w:type="dxa" w:w="120"/>
              <w:bottom w:type="dxa" w:w="100"/>
              <w:right w:type="dxa" w:w="120"/>
            </w:tcMar>
          </w:tcPr>
          <w:p>
            <w:pPr>
              <w:jc w:val="left"/>
            </w:pPr>
            <w:r>
              <w:rPr>
                <w:b w:val="false"/>
                <w:bCs w:val="false"/>
                <w:color w:val="222222"/>
                <w:sz w:val="20"/>
                <w:szCs w:val="20"/>
              </w:rPr>
              <w:t xml:space="preserve">ACJA 2015 / State ACL; Evidence Act; Criminal Code/Penal Code</w:t>
            </w:r>
          </w:p>
        </w:tc>
      </w:tr>
      <w:tr>
        <w:trPr>
          <w:tblHeader w:val="false"/>
        </w:trPr>
        <w:tc>
          <w:tcPr>
            <w:tcW w:type="dxa" w:w="2200"/>
            <w:shd w:fill="F2F2F2" w:val="clear"/>
            <w:tcMar>
              <w:top w:type="dxa" w:w="100"/>
              <w:left w:type="dxa" w:w="120"/>
              <w:bottom w:type="dxa" w:w="100"/>
              <w:right w:type="dxa" w:w="120"/>
            </w:tcMar>
          </w:tcPr>
          <w:p>
            <w:pPr>
              <w:jc w:val="left"/>
            </w:pPr>
            <w:r>
              <w:rPr>
                <w:b w:val="false"/>
                <w:bCs w:val="false"/>
                <w:color w:val="FFFFFF"/>
                <w:sz w:val="20"/>
                <w:szCs w:val="20"/>
              </w:rPr>
              <w:t xml:space="preserve">Outcome</w:t>
            </w:r>
          </w:p>
        </w:tc>
        <w:tc>
          <w:tcPr>
            <w:tcW w:type="dxa" w:w="4000"/>
            <w:shd w:fill="F2F2F2" w:val="clear"/>
            <w:tcMar>
              <w:top w:type="dxa" w:w="100"/>
              <w:left w:type="dxa" w:w="120"/>
              <w:bottom w:type="dxa" w:w="100"/>
              <w:right w:type="dxa" w:w="120"/>
            </w:tcMar>
          </w:tcPr>
          <w:p>
            <w:pPr>
              <w:jc w:val="left"/>
            </w:pPr>
            <w:r>
              <w:rPr>
                <w:b w:val="false"/>
                <w:bCs w:val="false"/>
                <w:color w:val="FFFFFF"/>
                <w:sz w:val="20"/>
                <w:szCs w:val="20"/>
              </w:rPr>
              <w:t xml:space="preserve">Judgment, damages, injunction, specific performance</w:t>
            </w:r>
          </w:p>
        </w:tc>
        <w:tc>
          <w:tcPr>
            <w:tcW w:type="dxa" w:w="4000"/>
            <w:shd w:fill="F2F2F2" w:val="clear"/>
            <w:tcMar>
              <w:top w:type="dxa" w:w="100"/>
              <w:left w:type="dxa" w:w="120"/>
              <w:bottom w:type="dxa" w:w="100"/>
              <w:right w:type="dxa" w:w="120"/>
            </w:tcMar>
          </w:tcPr>
          <w:p>
            <w:pPr>
              <w:jc w:val="left"/>
            </w:pPr>
            <w:r>
              <w:rPr>
                <w:b w:val="false"/>
                <w:bCs w:val="false"/>
                <w:color w:val="FFFFFF"/>
                <w:sz w:val="20"/>
                <w:szCs w:val="20"/>
              </w:rPr>
              <w:t xml:space="preserve">Conviction/acquittal, sentence (fine, imprisonment, etc.)</w:t>
            </w:r>
          </w:p>
        </w:tc>
      </w:tr>
      <w:tr>
        <w:trPr>
          <w:tblHeader w:val="false"/>
        </w:trPr>
        <w:tc>
          <w:tcPr>
            <w:tcW w:type="dxa" w:w="2200"/>
            <w:tcMar>
              <w:top w:type="dxa" w:w="100"/>
              <w:left w:type="dxa" w:w="120"/>
              <w:bottom w:type="dxa" w:w="100"/>
              <w:right w:type="dxa" w:w="120"/>
            </w:tcMar>
          </w:tcPr>
          <w:p>
            <w:pPr>
              <w:jc w:val="left"/>
            </w:pPr>
            <w:r>
              <w:rPr>
                <w:b w:val="false"/>
                <w:bCs w:val="false"/>
                <w:color w:val="222222"/>
                <w:sz w:val="20"/>
                <w:szCs w:val="20"/>
              </w:rPr>
              <w:t xml:space="preserve">Representation</w:t>
            </w:r>
          </w:p>
        </w:tc>
        <w:tc>
          <w:tcPr>
            <w:tcW w:type="dxa" w:w="4000"/>
            <w:tcMar>
              <w:top w:type="dxa" w:w="100"/>
              <w:left w:type="dxa" w:w="120"/>
              <w:bottom w:type="dxa" w:w="100"/>
              <w:right w:type="dxa" w:w="120"/>
            </w:tcMar>
          </w:tcPr>
          <w:p>
            <w:pPr>
              <w:jc w:val="left"/>
            </w:pPr>
            <w:r>
              <w:rPr>
                <w:b w:val="false"/>
                <w:bCs w:val="false"/>
                <w:color w:val="222222"/>
                <w:sz w:val="20"/>
                <w:szCs w:val="20"/>
              </w:rPr>
              <w:t xml:space="preserve">Party may sue/defend in person or by counsel</w:t>
            </w:r>
          </w:p>
        </w:tc>
        <w:tc>
          <w:tcPr>
            <w:tcW w:type="dxa" w:w="4000"/>
            <w:tcMar>
              <w:top w:type="dxa" w:w="100"/>
              <w:left w:type="dxa" w:w="120"/>
              <w:bottom w:type="dxa" w:w="100"/>
              <w:right w:type="dxa" w:w="120"/>
            </w:tcMar>
          </w:tcPr>
          <w:p>
            <w:pPr>
              <w:jc w:val="left"/>
            </w:pPr>
            <w:r>
              <w:rPr>
                <w:b w:val="false"/>
                <w:bCs w:val="false"/>
                <w:color w:val="222222"/>
                <w:sz w:val="20"/>
                <w:szCs w:val="20"/>
              </w:rPr>
              <w:t xml:space="preserve">Accused entitled to counsel of choice; State represented by prosecutor</w:t>
            </w:r>
          </w:p>
        </w:tc>
      </w:tr>
      <w:tr>
        <w:trPr>
          <w:tblHeader w:val="false"/>
        </w:trPr>
        <w:tc>
          <w:tcPr>
            <w:tcW w:type="dxa" w:w="2200"/>
            <w:shd w:fill="F2F2F2" w:val="clear"/>
            <w:tcMar>
              <w:top w:type="dxa" w:w="100"/>
              <w:left w:type="dxa" w:w="120"/>
              <w:bottom w:type="dxa" w:w="100"/>
              <w:right w:type="dxa" w:w="120"/>
            </w:tcMar>
          </w:tcPr>
          <w:p>
            <w:pPr>
              <w:jc w:val="left"/>
            </w:pPr>
            <w:r>
              <w:rPr>
                <w:b w:val="false"/>
                <w:bCs w:val="false"/>
                <w:color w:val="FFFFFF"/>
                <w:sz w:val="20"/>
                <w:szCs w:val="20"/>
              </w:rPr>
              <w:t xml:space="preserve">Burden of Proof</w:t>
            </w:r>
          </w:p>
        </w:tc>
        <w:tc>
          <w:tcPr>
            <w:tcW w:type="dxa" w:w="4000"/>
            <w:shd w:fill="F2F2F2" w:val="clear"/>
            <w:tcMar>
              <w:top w:type="dxa" w:w="100"/>
              <w:left w:type="dxa" w:w="120"/>
              <w:bottom w:type="dxa" w:w="100"/>
              <w:right w:type="dxa" w:w="120"/>
            </w:tcMar>
          </w:tcPr>
          <w:p>
            <w:pPr>
              <w:jc w:val="left"/>
            </w:pPr>
            <w:r>
              <w:rPr>
                <w:b w:val="false"/>
                <w:bCs w:val="false"/>
                <w:color w:val="FFFFFF"/>
                <w:sz w:val="20"/>
                <w:szCs w:val="20"/>
              </w:rPr>
              <w:t xml:space="preserve">Generally on the claimant ("he who asserts must prove")</w:t>
            </w:r>
          </w:p>
        </w:tc>
        <w:tc>
          <w:tcPr>
            <w:tcW w:type="dxa" w:w="4000"/>
            <w:shd w:fill="F2F2F2" w:val="clear"/>
            <w:tcMar>
              <w:top w:type="dxa" w:w="100"/>
              <w:left w:type="dxa" w:w="120"/>
              <w:bottom w:type="dxa" w:w="100"/>
              <w:right w:type="dxa" w:w="120"/>
            </w:tcMar>
          </w:tcPr>
          <w:p>
            <w:pPr>
              <w:jc w:val="left"/>
            </w:pPr>
            <w:r>
              <w:rPr>
                <w:b w:val="false"/>
                <w:bCs w:val="false"/>
                <w:color w:val="FFFFFF"/>
                <w:sz w:val="20"/>
                <w:szCs w:val="20"/>
              </w:rPr>
              <w:t xml:space="preserve">Always on the prosecution; presumption of innocence (s.36(5) CFRN)</w:t>
            </w:r>
          </w:p>
        </w:tc>
      </w:tr>
      <w:tr>
        <w:trPr>
          <w:tblHeader w:val="false"/>
        </w:trPr>
        <w:tc>
          <w:tcPr>
            <w:tcW w:type="dxa" w:w="2200"/>
            <w:tcMar>
              <w:top w:type="dxa" w:w="100"/>
              <w:left w:type="dxa" w:w="120"/>
              <w:bottom w:type="dxa" w:w="100"/>
              <w:right w:type="dxa" w:w="120"/>
            </w:tcMar>
          </w:tcPr>
          <w:p>
            <w:pPr>
              <w:jc w:val="left"/>
            </w:pPr>
            <w:r>
              <w:rPr>
                <w:b w:val="false"/>
                <w:bCs w:val="false"/>
                <w:color w:val="222222"/>
                <w:sz w:val="20"/>
                <w:szCs w:val="20"/>
              </w:rPr>
              <w:t xml:space="preserve">Settlement</w:t>
            </w:r>
          </w:p>
        </w:tc>
        <w:tc>
          <w:tcPr>
            <w:tcW w:type="dxa" w:w="4000"/>
            <w:tcMar>
              <w:top w:type="dxa" w:w="100"/>
              <w:left w:type="dxa" w:w="120"/>
              <w:bottom w:type="dxa" w:w="100"/>
              <w:right w:type="dxa" w:w="120"/>
            </w:tcMar>
          </w:tcPr>
          <w:p>
            <w:pPr>
              <w:jc w:val="left"/>
            </w:pPr>
            <w:r>
              <w:rPr>
                <w:b w:val="false"/>
                <w:bCs w:val="false"/>
                <w:color w:val="222222"/>
                <w:sz w:val="20"/>
                <w:szCs w:val="20"/>
              </w:rPr>
              <w:t xml:space="preserve">Can be settled/withdrawn by parties (ADR common)</w:t>
            </w:r>
          </w:p>
        </w:tc>
        <w:tc>
          <w:tcPr>
            <w:tcW w:type="dxa" w:w="4000"/>
            <w:tcMar>
              <w:top w:type="dxa" w:w="100"/>
              <w:left w:type="dxa" w:w="120"/>
              <w:bottom w:type="dxa" w:w="100"/>
              <w:right w:type="dxa" w:w="120"/>
            </w:tcMar>
          </w:tcPr>
          <w:p>
            <w:pPr>
              <w:jc w:val="left"/>
            </w:pPr>
            <w:r>
              <w:rPr>
                <w:b w:val="false"/>
                <w:bCs w:val="false"/>
                <w:color w:val="222222"/>
                <w:sz w:val="20"/>
                <w:szCs w:val="20"/>
              </w:rPr>
              <w:t xml:space="preserve">Cannot ordinarily be settled privately; plea bargain under ACJA is an exception</w:t>
            </w:r>
          </w:p>
        </w:tc>
      </w:tr>
    </w:tbl>
    <w:p>
      <w:pPr>
        <w:spacing w:before="200"/>
      </w:pPr>
    </w:p>
    <w:p>
      <w:pPr>
        <w:pStyle w:val="Heading1"/>
        <w:spacing w:after="160" w:before="400"/>
      </w:pPr>
      <w:r>
        <w:rPr>
          <w:b/>
          <w:bCs/>
          <w:color w:val="1F3A5F"/>
          <w:sz w:val="30"/>
          <w:szCs w:val="30"/>
        </w:rPr>
        <w:t xml:space="preserve">5. Revision Summary</w:t>
      </w:r>
    </w:p>
    <w:p>
      <w:pPr>
        <w:pStyle w:val="ListParagraph"/>
        <w:numPr>
          <w:ilvl w:val="0"/>
          <w:numId w:val="3"/>
        </w:numPr>
        <w:spacing w:after="90" w:line="290"/>
      </w:pPr>
      <w:r>
        <w:rPr>
          <w:sz w:val="22"/>
          <w:szCs w:val="22"/>
        </w:rPr>
        <w:t xml:space="preserve">Civil litigation resolves private disputes on a balance of probabilities; criminal litigation punishes public wrongs beyond reasonable doubt.</w:t>
      </w:r>
    </w:p>
    <w:p>
      <w:pPr>
        <w:pStyle w:val="ListParagraph"/>
        <w:numPr>
          <w:ilvl w:val="0"/>
          <w:numId w:val="3"/>
        </w:numPr>
        <w:spacing w:after="90" w:line="290"/>
      </w:pPr>
      <w:r>
        <w:rPr>
          <w:sz w:val="22"/>
          <w:szCs w:val="22"/>
        </w:rPr>
        <w:t xml:space="preserve">Civil suits commence by Writ/Originating Summons; criminal cases commence by arrest, investigation, and a charge/information.</w:t>
      </w:r>
    </w:p>
    <w:p>
      <w:pPr>
        <w:pStyle w:val="ListParagraph"/>
        <w:numPr>
          <w:ilvl w:val="0"/>
          <w:numId w:val="3"/>
        </w:numPr>
        <w:spacing w:after="90" w:line="290"/>
      </w:pPr>
      <w:r>
        <w:rPr>
          <w:sz w:val="22"/>
          <w:szCs w:val="22"/>
        </w:rPr>
        <w:t xml:space="preserve">Both processes are anchored on fair hearing under s. 36 of the 1999 Constitution.</w:t>
      </w:r>
    </w:p>
    <w:p>
      <w:pPr>
        <w:pStyle w:val="ListParagraph"/>
        <w:numPr>
          <w:ilvl w:val="0"/>
          <w:numId w:val="3"/>
        </w:numPr>
        <w:spacing w:after="90" w:line="290"/>
      </w:pPr>
      <w:r>
        <w:rPr>
          <w:sz w:val="22"/>
          <w:szCs w:val="22"/>
        </w:rPr>
        <w:t xml:space="preserve">The Evidence Act 2011 governs trial procedure in both streams, though the standard of proof differs sharply.</w:t>
      </w:r>
    </w:p>
    <w:p>
      <w:pPr>
        <w:pStyle w:val="ListParagraph"/>
        <w:numPr>
          <w:ilvl w:val="0"/>
          <w:numId w:val="3"/>
        </w:numPr>
        <w:spacing w:after="90" w:line="290"/>
      </w:pPr>
      <w:r>
        <w:rPr>
          <w:sz w:val="22"/>
          <w:szCs w:val="22"/>
        </w:rPr>
        <w:t xml:space="preserve">Service of process (civil) and proper arraignment (criminal) are foundational — defects here can void the entire proceeding, per Madukolu v. Nkemdilim and Skenconsult v. Ukey.</w:t>
      </w:r>
    </w:p>
    <w:p>
      <w:pPr>
        <w:pStyle w:val="ListParagraph"/>
        <w:numPr>
          <w:ilvl w:val="0"/>
          <w:numId w:val="3"/>
        </w:numPr>
        <w:spacing w:after="90" w:line="290"/>
      </w:pPr>
      <w:r>
        <w:rPr>
          <w:sz w:val="22"/>
          <w:szCs w:val="22"/>
        </w:rPr>
        <w:t xml:space="preserve">Enforcement in civil matters is via execution/garnishee; in criminal matters, via sentencing (fine, imprisonment, or other statutory punishment).</w:t>
      </w:r>
    </w:p>
    <w:p>
      <w:pPr>
        <w:pStyle w:val="ListParagraph"/>
        <w:numPr>
          <w:ilvl w:val="0"/>
          <w:numId w:val="3"/>
        </w:numPr>
        <w:spacing w:after="90" w:line="290"/>
      </w:pPr>
      <w:r>
        <w:rPr>
          <w:sz w:val="22"/>
          <w:szCs w:val="22"/>
        </w:rPr>
        <w:t xml:space="preserve">Appeals in both streams flow from the trial court to the Court of Appeal, and ultimately the Supreme Court.</w:t>
      </w:r>
    </w:p>
    <w:p>
      <w:pPr>
        <w:pStyle w:val="Heading1"/>
        <w:spacing w:after="160" w:before="400"/>
      </w:pPr>
      <w:r>
        <w:rPr>
          <w:b/>
          <w:bCs/>
          <w:color w:val="1F3A5F"/>
          <w:sz w:val="30"/>
          <w:szCs w:val="30"/>
        </w:rPr>
        <w:t xml:space="preserve">6. Discussion Questions</w:t>
      </w:r>
    </w:p>
    <w:p>
      <w:pPr>
        <w:pStyle w:val="ListParagraph"/>
        <w:numPr>
          <w:ilvl w:val="0"/>
          <w:numId w:val="2"/>
        </w:numPr>
        <w:spacing w:after="90" w:line="290"/>
      </w:pPr>
      <w:r>
        <w:rPr>
          <w:sz w:val="22"/>
          <w:szCs w:val="22"/>
        </w:rPr>
        <w:t xml:space="preserve">Distinguish between a Writ of Summons and an Originating Summons. In what circumstances would you advise a client to use each?</w:t>
      </w:r>
    </w:p>
    <w:p>
      <w:pPr>
        <w:pStyle w:val="ListParagraph"/>
        <w:numPr>
          <w:ilvl w:val="0"/>
          <w:numId w:val="2"/>
        </w:numPr>
        <w:spacing w:after="90" w:line="290"/>
      </w:pPr>
      <w:r>
        <w:rPr>
          <w:sz w:val="22"/>
          <w:szCs w:val="22"/>
        </w:rPr>
        <w:t xml:space="preserve">Using Madukolu v. Nkemdilim, explain why proper service of an originating process is fundamental to the jurisdiction of a court in civil proceedings.</w:t>
      </w:r>
    </w:p>
    <w:p>
      <w:pPr>
        <w:pStyle w:val="ListParagraph"/>
        <w:numPr>
          <w:ilvl w:val="0"/>
          <w:numId w:val="2"/>
        </w:numPr>
        <w:spacing w:after="90" w:line="290"/>
      </w:pPr>
      <w:r>
        <w:rPr>
          <w:sz w:val="22"/>
          <w:szCs w:val="22"/>
        </w:rPr>
        <w:t xml:space="preserve">Explain the significance of the presumption of innocence under s. 36(5) of the 1999 Constitution and how it shapes the burden of proof in criminal trials.</w:t>
      </w:r>
    </w:p>
    <w:p>
      <w:pPr>
        <w:pStyle w:val="ListParagraph"/>
        <w:numPr>
          <w:ilvl w:val="0"/>
          <w:numId w:val="2"/>
        </w:numPr>
        <w:spacing w:after="90" w:line="290"/>
      </w:pPr>
      <w:r>
        <w:rPr>
          <w:sz w:val="22"/>
          <w:szCs w:val="22"/>
        </w:rPr>
        <w:t xml:space="preserve">Discuss the innovations introduced by the ACJA 2015 to curb prolonged pre-trial detention in Nigeria.</w:t>
      </w:r>
    </w:p>
    <w:p>
      <w:pPr>
        <w:pStyle w:val="ListParagraph"/>
        <w:numPr>
          <w:ilvl w:val="0"/>
          <w:numId w:val="2"/>
        </w:numPr>
        <w:spacing w:after="90" w:line="290"/>
      </w:pPr>
      <w:r>
        <w:rPr>
          <w:sz w:val="22"/>
          <w:szCs w:val="22"/>
        </w:rPr>
        <w:t xml:space="preserve">Draft, in outline form, the steps you would take from the moment a client reports a breach of contract to the point of enforcing a favourable judgment.</w:t>
      </w:r>
    </w:p>
    <w:p>
      <w:pPr>
        <w:pStyle w:val="ListParagraph"/>
        <w:numPr>
          <w:ilvl w:val="0"/>
          <w:numId w:val="2"/>
        </w:numPr>
        <w:spacing w:after="90" w:line="290"/>
      </w:pPr>
      <w:r>
        <w:rPr>
          <w:sz w:val="22"/>
          <w:szCs w:val="22"/>
        </w:rPr>
        <w:t xml:space="preserve">Compare and contrast the concept of "balance of probabilities" with "proof beyond reasonable doubt," using practical illustrations.</w:t>
      </w:r>
    </w:p>
    <w:p>
      <w:pPr>
        <w:pStyle w:val="ListParagraph"/>
        <w:numPr>
          <w:ilvl w:val="0"/>
          <w:numId w:val="2"/>
        </w:numPr>
        <w:spacing w:after="90" w:line="290"/>
      </w:pPr>
      <w:r>
        <w:rPr>
          <w:sz w:val="22"/>
          <w:szCs w:val="22"/>
        </w:rPr>
        <w:t xml:space="preserve">Is plea bargain under the ACJA a departure from the traditional adversarial criminal trial process? Discuss.</w:t>
      </w:r>
    </w:p>
    <w:p>
      <w:pPr>
        <w:spacing w:before="300"/>
      </w:pPr>
    </w:p>
    <w:p>
      <w:pPr>
        <w:pBdr>
          <w:bottom w:val="single" w:color="1F3A5F" w:sz="6" w:space="1"/>
        </w:pBdr>
        <w:spacing w:after="200"/>
      </w:pPr>
    </w:p>
    <w:p>
      <w:pPr>
        <w:jc w:val="center"/>
      </w:pPr>
      <w:r>
        <w:rPr>
          <w:i/>
          <w:iCs/>
          <w:color w:val="595959"/>
          <w:sz w:val="18"/>
          <w:szCs w:val="18"/>
        </w:rPr>
        <w:t xml:space="preserve">Prepared for the FUTO Bar Association — SUG School of Paralegal Studies</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2026-07-03T13:04:13.835Z</dcterms:created>
  <dcterms:modified xsi:type="dcterms:W3CDTF">2026-07-03T13:04:13.835Z</dcterms:modified>
</cp:coreProperties>
</file>

<file path=docProps/custom.xml><?xml version="1.0" encoding="utf-8"?>
<Properties xmlns="http://schemas.openxmlformats.org/officeDocument/2006/custom-properties" xmlns:vt="http://schemas.openxmlformats.org/officeDocument/2006/docPropsVTypes"/>
</file>