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2"/>
        </w:rPr>
        <w:t>Response to Reviewer Comments</w:t>
      </w:r>
    </w:p>
    <w:p>
      <w:pPr>
        <w:spacing w:after="80"/>
        <w:jc w:val="center"/>
      </w:pPr>
      <w:r>
        <w:rPr>
          <w:rFonts w:ascii="Times New Roman" w:hAnsi="Times New Roman"/>
          <w:i/>
          <w:sz w:val="22"/>
        </w:rPr>
        <w:t>Context Without Contact: Top-Down Information Flow from Shared Modulation in Uncoupled Prebiotic Systems</w:t>
      </w:r>
    </w:p>
    <w:p>
      <w:pPr>
        <w:spacing w:after="360"/>
        <w:jc w:val="center"/>
      </w:pPr>
      <w:r>
        <w:rPr>
          <w:rFonts w:ascii="Times New Roman" w:hAnsi="Times New Roman"/>
          <w:sz w:val="20"/>
        </w:rPr>
        <w:t>Manuscript submitted to Royal Society Open Science</w:t>
      </w:r>
    </w:p>
    <w:p>
      <w:pPr>
        <w:spacing w:after="120"/>
        <w:jc w:val="both"/>
      </w:pPr>
      <w:r>
        <w:rPr>
          <w:rFonts w:ascii="Times New Roman" w:hAnsi="Times New Roman"/>
          <w:sz w:val="20"/>
        </w:rPr>
        <w:t>We thank the reviewers for their constructive and insightful comments. We have carefully addressed every point raised. Below, we respond to each comment individually and describe the specific changes made. All modifications to the manuscript are highlighted in red font in the revised manuscript and supplementary information.</w:t>
      </w:r>
    </w:p>
    <w:p>
      <w:pPr>
        <w:pStyle w:val="Heading1"/>
      </w:pPr>
      <w:r>
        <w:rPr>
          <w:rFonts w:ascii="Times New Roman" w:hAnsi="Times New Roman"/>
          <w:color w:val="000000"/>
        </w:rPr>
        <w:t>Reviewer 1</w:t>
      </w:r>
    </w:p>
    <w:p>
      <w:pPr>
        <w:pStyle w:val="Heading2"/>
      </w:pPr>
      <w:r>
        <w:rPr>
          <w:rFonts w:ascii="Times New Roman" w:hAnsi="Times New Roman"/>
          <w:color w:val="000000"/>
        </w:rPr>
        <w:t>Major Comment 1: Strengthen the Introduction</w:t>
      </w:r>
    </w:p>
    <w:p>
      <w:pPr>
        <w:spacing w:after="80"/>
        <w:ind w:left="567"/>
        <w:jc w:val="both"/>
      </w:pPr>
      <w:r>
        <w:rPr>
          <w:rFonts w:ascii="Times New Roman" w:hAnsi="Times New Roman"/>
          <w:b/>
          <w:i/>
          <w:sz w:val="20"/>
        </w:rPr>
        <w:t xml:space="preserve">Comment: </w:t>
      </w:r>
      <w:r>
        <w:rPr>
          <w:rFonts w:ascii="Times New Roman" w:hAnsi="Times New Roman"/>
          <w:i/>
          <w:sz w:val="20"/>
        </w:rPr>
        <w:t>The article is structured into three sections: the Introduction provides background, the Results section outlines the methodology and numerical experiments, and the Discussion interprets the findings in the context of the origin of life. I recommend a more thorough treatment of the underlying themes. In particular, the Introduction would benefit from additional detail and references to prior work that has considered top-down causation in the context of the origin of life and evolutionary transitions. Greater attention should also be given to the role of logistic map models in computational biology and the application of information-theoretic measures. These additions would substantially strengthen the Introduction, which in its current form is insufficient.</w:t>
      </w:r>
    </w:p>
    <w:p>
      <w:pPr>
        <w:spacing w:after="240"/>
        <w:jc w:val="both"/>
      </w:pPr>
      <w:r>
        <w:rPr>
          <w:rFonts w:ascii="Times New Roman" w:hAnsi="Times New Roman"/>
          <w:b/>
          <w:sz w:val="20"/>
        </w:rPr>
        <w:t xml:space="preserve">Response: </w:t>
      </w:r>
      <w:r>
        <w:rPr>
          <w:rFonts w:ascii="Times New Roman" w:hAnsi="Times New Roman"/>
          <w:sz w:val="20"/>
        </w:rPr>
        <w:t>We have substantially expanded the Introduction with three new paragraphs:</w:t>
        <w:br/>
        <w:br/>
        <w:t>(a) Top-down causation in origin of life and evolutionary transitions: We added a paragraph reviewing prior work by Walker et al., Ellis, Szathmáry, Flack, and others on top-down causation in the context of major evolutionary transitions and the origin of life. This paragraph now provides the conceptual context for our study and identifies the gap it fills (references 4–9 in the revised manuscript).</w:t>
        <w:br/>
        <w:br/>
        <w:t>(b) Logistic maps in computational biology: We added a paragraph covering the use of logistic map models in population dynamics and computational biology, including their role as minimal models exhibiting deterministic chaos. We also acknowledged that synchronization of chaotic systems under common external forcing is a well-characterized phenomenon in nonlinear dynamics, citing Boccaletti et al. (2002) (references 14, 31–36).</w:t>
        <w:br/>
        <w:br/>
        <w:t>(c) Information-theoretic measures: We added a paragraph reviewing the application of transfer entropy and related information-theoretic measures to biological systems, multi-scale dynamics, and causality detection, including discussion of strengths and limitations of TE as a causality proxy (references 17–24).</w:t>
      </w:r>
    </w:p>
    <w:p>
      <w:pPr>
        <w:pStyle w:val="Heading2"/>
      </w:pPr>
      <w:r>
        <w:rPr>
          <w:rFonts w:ascii="Times New Roman" w:hAnsi="Times New Roman"/>
          <w:color w:val="000000"/>
        </w:rPr>
        <w:t>Major Comment 2: Add a dedicated Methodology section</w:t>
      </w:r>
    </w:p>
    <w:p>
      <w:pPr>
        <w:spacing w:after="80"/>
        <w:ind w:left="567"/>
        <w:jc w:val="both"/>
      </w:pPr>
      <w:r>
        <w:rPr>
          <w:rFonts w:ascii="Times New Roman" w:hAnsi="Times New Roman"/>
          <w:b/>
          <w:i/>
          <w:sz w:val="20"/>
        </w:rPr>
        <w:t xml:space="preserve">Comment: </w:t>
      </w:r>
      <w:r>
        <w:rPr>
          <w:rFonts w:ascii="Times New Roman" w:hAnsi="Times New Roman"/>
          <w:i/>
          <w:sz w:val="20"/>
        </w:rPr>
        <w:t>I strongly recommend adding a dedicated methodology section that clearly presents the model and parameter choices, some of which appear arbitrary (e.g., r_min, r_max, K₀, A, ω). This would help demonstrate the robustness of the argument.</w:t>
      </w:r>
    </w:p>
    <w:p>
      <w:pPr>
        <w:spacing w:after="240"/>
        <w:jc w:val="both"/>
      </w:pPr>
      <w:r>
        <w:rPr>
          <w:rFonts w:ascii="Times New Roman" w:hAnsi="Times New Roman"/>
          <w:b/>
          <w:sz w:val="20"/>
        </w:rPr>
        <w:t xml:space="preserve">Response: </w:t>
      </w:r>
      <w:r>
        <w:rPr>
          <w:rFonts w:ascii="Times New Roman" w:hAnsi="Times New Roman"/>
          <w:sz w:val="20"/>
        </w:rPr>
        <w:t>We have created a new “Model and Methods” section, placed between the Introduction and Results. This section now contains:</w:t>
        <w:br/>
        <w:br/>
        <w:t>(a) Model description: The full model definition, including equations, variable definitions, and the ensemble mean field definition, has been moved from the former Results section into this new section. The Results section now opens directly with findings.</w:t>
        <w:br/>
        <w:br/>
        <w:t>(b) Parameter justification table: We added a summary table (Table 1) listing every model parameter (r_min, r_max, K₀, A, ω, N, T, number of bins, embedding lag k) together with its value and a brief rationale grounded in biological motivation, literature conventions, or sensitivity analysis.</w:t>
        <w:br/>
        <w:br/>
        <w:t>(c) TE estimation procedure: We documented the histogram-based transfer entropy estimation method in full detail, including bin count selection, lag selection rationale (referencing Supplementary Figure S1), the circular shift surrogate testing procedure, number of surrogates, and significance threshold. A reader can now reproduce the TE computation from the Methods section alone.</w:t>
      </w:r>
    </w:p>
    <w:p>
      <w:pPr>
        <w:pStyle w:val="Heading2"/>
      </w:pPr>
      <w:r>
        <w:rPr>
          <w:rFonts w:ascii="Times New Roman" w:hAnsi="Times New Roman"/>
          <w:color w:val="000000"/>
        </w:rPr>
        <w:t>Major Comment 3: Disentangle top-down causation from common-driver forcing</w:t>
      </w:r>
    </w:p>
    <w:p>
      <w:pPr>
        <w:spacing w:after="80"/>
        <w:ind w:left="567"/>
        <w:jc w:val="both"/>
      </w:pPr>
      <w:r>
        <w:rPr>
          <w:rFonts w:ascii="Times New Roman" w:hAnsi="Times New Roman"/>
          <w:b/>
          <w:i/>
          <w:sz w:val="20"/>
        </w:rPr>
        <w:t xml:space="preserve">Comment: </w:t>
      </w:r>
      <w:r>
        <w:rPr>
          <w:rFonts w:ascii="Times New Roman" w:hAnsi="Times New Roman"/>
          <w:i/>
          <w:sz w:val="20"/>
        </w:rPr>
        <w:t>From a methodological standpoint, I am not convinced that the Author demonstrates convincingly that the alignment of individual units with the mean field is due to top-down causation rather than to forcing caused by the environmental modulation A. [...] I encourage the Author to supplement their analysis by isolating constraint-driven order from mean-field-driven order. Conditional transfer entropy could be useful for this purpose. Moreover, I encourage the Author to pay particular attention to the value of A/K₀, which determines the extent to which the quadratic term influences the forcing from the environmental constraint. Combined with a deeper analysis of Figure 1 — for instance, why TE increases monotonically with A, and why the confidence interval rises sharply when A ≈ 50 — this would substantially strengthen the Author’s argument.</w:t>
      </w:r>
    </w:p>
    <w:p>
      <w:pPr>
        <w:spacing w:after="240"/>
        <w:jc w:val="both"/>
      </w:pPr>
      <w:r>
        <w:rPr>
          <w:rFonts w:ascii="Times New Roman" w:hAnsi="Times New Roman"/>
          <w:b/>
          <w:sz w:val="20"/>
        </w:rPr>
        <w:t xml:space="preserve">Response: </w:t>
      </w:r>
      <w:r>
        <w:rPr>
          <w:rFonts w:ascii="Times New Roman" w:hAnsi="Times New Roman"/>
          <w:sz w:val="20"/>
        </w:rPr>
        <w:t>We thank the reviewer for this important suggestion, which has substantially strengthened the manuscript. We have addressed all three sub-points:</w:t>
        <w:br/>
        <w:br/>
        <w:t>(a) Conditional transfer entropy (CTE) analysis: We computed CTE in both directions (M → x and x → M), conditioning on the environmental signal Kₙ, across the same parameter sweep as Figure 1B (A = 0 to 60). Results are presented in a new Figure 3 alongside the unconditional TE for direct comparison. The analysis reveals a two-component structure: the environmental signal accounts for a large share of the unconditional TE (as expected, since it is the shared driver), but a genuine non-zero residual CTE(M→x|K) persists across all modulation amplitudes. This residual peaks at approximately 0.36 bits at intermediate A values, demonstrating that the nonlinear aggregation of heterogeneous chaotic units generates emergent statistical structure in the mean field that carries predictive information about individual trajectories beyond what the environment alone provides. The two components — environmental scaffolding and genuine emergent information flow — are discussed explicitly in both the Results and Discussion sections.</w:t>
        <w:br/>
        <w:br/>
        <w:t>(b) A/K₀ ratio sweep: We performed a parameter sweep over A/K₀ values with multiple K₀ settings (50, 100, 200). The results (new Figure 4) show that TE collapses onto a single universal curve when plotted against A/K₀, confirming this ratio as the natural control parameter governing the transition from the nonlinear (quadratic-dominated) regime to the near-linear regime. This is discussed in the Results section.</w:t>
        <w:br/>
        <w:br/>
        <w:t>(c) Explanation of Figure 1B features: We added explicit explanations for the two features the reviewer highlighted. First, TE(M→x) increases monotonically with A because stronger modulation forces individual trajectories to track the environment more closely, making the mean field an increasingly accurate predictor of each unit’s next state. Second, the sharp rise in the confidence interval near A ≈ 50 corresponds to the regime boundary (A/K₀ ≈ 0.5) where the system transitions from nonlinear dynamics to near-complete environmental entrainment; in this transition zone, small differences in initial conditions and growth rates lead to large variability in how quickly individual realizations lock onto the modulated attractor.</w:t>
      </w:r>
    </w:p>
    <w:p>
      <w:pPr>
        <w:pStyle w:val="Heading2"/>
      </w:pPr>
      <w:r>
        <w:rPr>
          <w:rFonts w:ascii="Times New Roman" w:hAnsi="Times New Roman"/>
          <w:color w:val="000000"/>
        </w:rPr>
        <w:t>Minor Comment 3: Unify terminology</w:t>
      </w:r>
    </w:p>
    <w:p>
      <w:pPr>
        <w:spacing w:after="80"/>
        <w:ind w:left="567"/>
        <w:jc w:val="both"/>
      </w:pPr>
      <w:r>
        <w:rPr>
          <w:rFonts w:ascii="Times New Roman" w:hAnsi="Times New Roman"/>
          <w:b/>
          <w:i/>
          <w:sz w:val="20"/>
        </w:rPr>
        <w:t xml:space="preserve">Comment: </w:t>
      </w:r>
      <w:r>
        <w:rPr>
          <w:rFonts w:ascii="Times New Roman" w:hAnsi="Times New Roman"/>
          <w:i/>
          <w:sz w:val="20"/>
        </w:rPr>
        <w:t>Please unify the terminology: "ensemble mean" (p. 4) vs. "mean field" (p. 5), "population mean" (p. 6), and so on.</w:t>
      </w:r>
    </w:p>
    <w:p>
      <w:pPr>
        <w:spacing w:after="240"/>
        <w:jc w:val="both"/>
      </w:pPr>
      <w:r>
        <w:rPr>
          <w:rFonts w:ascii="Times New Roman" w:hAnsi="Times New Roman"/>
          <w:b/>
          <w:sz w:val="20"/>
        </w:rPr>
        <w:t xml:space="preserve">Response: </w:t>
      </w:r>
      <w:r>
        <w:rPr>
          <w:rFonts w:ascii="Times New Roman" w:hAnsi="Times New Roman"/>
          <w:sz w:val="20"/>
        </w:rPr>
        <w:t>We have standardized the terminology to "mean field" throughout the entire manuscript (main text, figure captions, and supplementary materials). All instances of “ensemble mean” and “population mean” have been replaced.</w:t>
      </w:r>
    </w:p>
    <w:p>
      <w:pPr>
        <w:pStyle w:val="Heading2"/>
      </w:pPr>
      <w:r>
        <w:rPr>
          <w:rFonts w:ascii="Times New Roman" w:hAnsi="Times New Roman"/>
          <w:color w:val="000000"/>
        </w:rPr>
        <w:t>Minor Comment 4: Add omega inset to Figure 1B</w:t>
      </w:r>
    </w:p>
    <w:p>
      <w:pPr>
        <w:spacing w:after="80"/>
        <w:ind w:left="567"/>
        <w:jc w:val="both"/>
      </w:pPr>
      <w:r>
        <w:rPr>
          <w:rFonts w:ascii="Times New Roman" w:hAnsi="Times New Roman"/>
          <w:b/>
          <w:i/>
          <w:sz w:val="20"/>
        </w:rPr>
        <w:t xml:space="preserve">Comment: </w:t>
      </w:r>
      <w:r>
        <w:rPr>
          <w:rFonts w:ascii="Times New Roman" w:hAnsi="Times New Roman"/>
          <w:i/>
          <w:sz w:val="20"/>
        </w:rPr>
        <w:t>In Figure 1B, I suggest adding an inset illustrating how TE varies as a function of ω.</w:t>
      </w:r>
    </w:p>
    <w:p>
      <w:pPr>
        <w:spacing w:after="240"/>
        <w:jc w:val="both"/>
      </w:pPr>
      <w:r>
        <w:rPr>
          <w:rFonts w:ascii="Times New Roman" w:hAnsi="Times New Roman"/>
          <w:b/>
          <w:sz w:val="20"/>
        </w:rPr>
        <w:t xml:space="preserve">Response: </w:t>
      </w:r>
      <w:r>
        <w:rPr>
          <w:rFonts w:ascii="Times New Roman" w:hAnsi="Times New Roman"/>
          <w:sz w:val="20"/>
        </w:rPr>
        <w:t>We have added an inset to Figure 1B showing TE(M→x) as a function of the modulation frequency ω. The sweep covers values spanning an order of magnitude with other parameters held at defaults. A brief description has been added to the Results text.</w:t>
      </w:r>
    </w:p>
    <w:p>
      <w:pPr>
        <w:pStyle w:val="Heading2"/>
      </w:pPr>
      <w:r>
        <w:rPr>
          <w:rFonts w:ascii="Times New Roman" w:hAnsi="Times New Roman"/>
          <w:color w:val="000000"/>
        </w:rPr>
        <w:t>Minor Comment 5: Clarify the saturation / soft-bound statement</w:t>
      </w:r>
    </w:p>
    <w:p>
      <w:pPr>
        <w:spacing w:after="80"/>
        <w:ind w:left="567"/>
        <w:jc w:val="both"/>
      </w:pPr>
      <w:r>
        <w:rPr>
          <w:rFonts w:ascii="Times New Roman" w:hAnsi="Times New Roman"/>
          <w:b/>
          <w:i/>
          <w:sz w:val="20"/>
        </w:rPr>
        <w:t xml:space="preserve">Comment: </w:t>
      </w:r>
      <w:r>
        <w:rPr>
          <w:rFonts w:ascii="Times New Roman" w:hAnsi="Times New Roman"/>
          <w:i/>
          <w:sz w:val="20"/>
        </w:rPr>
        <w:t>The Author writes that "The saturation was not due to numerical clipping; although a soft bound..." Please explain.</w:t>
      </w:r>
    </w:p>
    <w:p>
      <w:pPr>
        <w:spacing w:after="240"/>
        <w:jc w:val="both"/>
      </w:pPr>
      <w:r>
        <w:rPr>
          <w:rFonts w:ascii="Times New Roman" w:hAnsi="Times New Roman"/>
          <w:b/>
          <w:sz w:val="20"/>
        </w:rPr>
        <w:t xml:space="preserve">Response: </w:t>
      </w:r>
      <w:r>
        <w:rPr>
          <w:rFonts w:ascii="Times New Roman" w:hAnsi="Times New Roman"/>
          <w:sz w:val="20"/>
        </w:rPr>
        <w:t>We have expanded this passage to clarify three points: (a) what the soft bound of (0, 2K₀) is and why it was imposed (to prevent biologically unrealistic negative populations or extreme overshoots while preserving the natural dynamics), (b) how often the bound was approached at different A values (fewer than 10% of time steps at A = 60, and negligibly at lower A), and (c) why this rules out clipping as the driver of TE saturation (since the bound is rarely active, the saturation in TE reflects the genuine information-theoretic ceiling of environmental entrainment rather than an artifact).</w:t>
      </w:r>
    </w:p>
    <w:p>
      <w:pPr>
        <w:pStyle w:val="Heading2"/>
      </w:pPr>
      <w:r>
        <w:rPr>
          <w:rFonts w:ascii="Times New Roman" w:hAnsi="Times New Roman"/>
          <w:color w:val="000000"/>
        </w:rPr>
        <w:t>Minor Comment 6: Write out SNR and R² formulas</w:t>
      </w:r>
    </w:p>
    <w:p>
      <w:pPr>
        <w:spacing w:after="80"/>
        <w:ind w:left="567"/>
        <w:jc w:val="both"/>
      </w:pPr>
      <w:r>
        <w:rPr>
          <w:rFonts w:ascii="Times New Roman" w:hAnsi="Times New Roman"/>
          <w:b/>
          <w:i/>
          <w:sz w:val="20"/>
        </w:rPr>
        <w:t xml:space="preserve">Comment: </w:t>
      </w:r>
      <w:r>
        <w:rPr>
          <w:rFonts w:ascii="Times New Roman" w:hAnsi="Times New Roman"/>
          <w:i/>
          <w:sz w:val="20"/>
        </w:rPr>
        <w:t>Please explicitly write out the SNR and R² formulas actually computed.</w:t>
      </w:r>
    </w:p>
    <w:p>
      <w:pPr>
        <w:spacing w:after="240"/>
        <w:jc w:val="both"/>
      </w:pPr>
      <w:r>
        <w:rPr>
          <w:rFonts w:ascii="Times New Roman" w:hAnsi="Times New Roman"/>
          <w:b/>
          <w:sz w:val="20"/>
        </w:rPr>
        <w:t xml:space="preserve">Response: </w:t>
      </w:r>
      <w:r>
        <w:rPr>
          <w:rFonts w:ascii="Times New Roman" w:hAnsi="Times New Roman"/>
          <w:sz w:val="20"/>
        </w:rPr>
        <w:t>We have added explicit formulas for both metrics in the Methods section. R² is defined as the standard coefficient of determination between Mₙ and x₁,ₙ. SNR is defined as Var(Mₙ) / Var(ε), where ε denotes the residuals from the linear regression of x₁,ₙ on Mₙ. Both formulas include full variable definitions.</w:t>
      </w:r>
    </w:p>
    <w:p>
      <w:pPr>
        <w:pStyle w:val="Heading2"/>
      </w:pPr>
      <w:r>
        <w:rPr>
          <w:rFonts w:ascii="Times New Roman" w:hAnsi="Times New Roman"/>
          <w:color w:val="000000"/>
        </w:rPr>
        <w:t>Minor Comment 7: Fix the GitHub repo URL</w:t>
      </w:r>
    </w:p>
    <w:p>
      <w:pPr>
        <w:spacing w:after="80"/>
        <w:ind w:left="567"/>
        <w:jc w:val="both"/>
      </w:pPr>
      <w:r>
        <w:rPr>
          <w:rFonts w:ascii="Times New Roman" w:hAnsi="Times New Roman"/>
          <w:b/>
          <w:i/>
          <w:sz w:val="20"/>
        </w:rPr>
        <w:t xml:space="preserve">Comment: </w:t>
      </w:r>
      <w:r>
        <w:rPr>
          <w:rFonts w:ascii="Times New Roman" w:hAnsi="Times New Roman"/>
          <w:i/>
          <w:sz w:val="20"/>
        </w:rPr>
        <w:t>The address of the GitHub repo is incorrect.</w:t>
      </w:r>
    </w:p>
    <w:p>
      <w:pPr>
        <w:spacing w:after="240"/>
        <w:jc w:val="both"/>
      </w:pPr>
      <w:r>
        <w:rPr>
          <w:rFonts w:ascii="Times New Roman" w:hAnsi="Times New Roman"/>
          <w:b/>
          <w:sz w:val="20"/>
        </w:rPr>
        <w:t xml:space="preserve">Response: </w:t>
      </w:r>
      <w:r>
        <w:rPr>
          <w:rFonts w:ascii="Times New Roman" w:hAnsi="Times New Roman"/>
          <w:sz w:val="20"/>
        </w:rPr>
        <w:t>The GitHub repository URL has been corrected in the revised manuscript.</w:t>
      </w:r>
    </w:p>
    <w:p>
      <w:pPr>
        <w:pStyle w:val="Heading2"/>
      </w:pPr>
      <w:r>
        <w:rPr>
          <w:rFonts w:ascii="Times New Roman" w:hAnsi="Times New Roman"/>
          <w:color w:val="000000"/>
        </w:rPr>
        <w:t>Minor Comment 8: Fix Supplementary Figure S3 caption</w:t>
      </w:r>
    </w:p>
    <w:p>
      <w:pPr>
        <w:spacing w:after="80"/>
        <w:ind w:left="567"/>
        <w:jc w:val="both"/>
      </w:pPr>
      <w:r>
        <w:rPr>
          <w:rFonts w:ascii="Times New Roman" w:hAnsi="Times New Roman"/>
          <w:b/>
          <w:i/>
          <w:sz w:val="20"/>
        </w:rPr>
        <w:t xml:space="preserve">Comment: </w:t>
      </w:r>
      <w:r>
        <w:rPr>
          <w:rFonts w:ascii="Times New Roman" w:hAnsi="Times New Roman"/>
          <w:i/>
          <w:sz w:val="20"/>
        </w:rPr>
        <w:t>Supplementary Information, p. 4: The caption should indicate "Return maps of [...] A = {0, 20, 40, 60}".</w:t>
      </w:r>
    </w:p>
    <w:p>
      <w:pPr>
        <w:spacing w:after="240"/>
        <w:jc w:val="both"/>
      </w:pPr>
      <w:r>
        <w:rPr>
          <w:rFonts w:ascii="Times New Roman" w:hAnsi="Times New Roman"/>
          <w:b/>
          <w:sz w:val="20"/>
        </w:rPr>
        <w:t xml:space="preserve">Response: </w:t>
      </w:r>
      <w:r>
        <w:rPr>
          <w:rFonts w:ascii="Times New Roman" w:hAnsi="Times New Roman"/>
          <w:sz w:val="20"/>
        </w:rPr>
        <w:t>The caption for Supplementary Figure S3 has been corrected to read A = {0, 20, 40, 60}, matching the actual figure panels.</w:t>
      </w:r>
    </w:p>
    <w:p>
      <w:pPr>
        <w:pStyle w:val="Heading1"/>
      </w:pPr>
      <w:r>
        <w:rPr>
          <w:rFonts w:ascii="Times New Roman" w:hAnsi="Times New Roman"/>
          <w:color w:val="000000"/>
        </w:rPr>
        <w:t>Reviewer 2</w:t>
      </w:r>
    </w:p>
    <w:p>
      <w:pPr>
        <w:spacing w:after="80"/>
        <w:ind w:left="567"/>
        <w:jc w:val="both"/>
      </w:pPr>
      <w:r>
        <w:rPr>
          <w:rFonts w:ascii="Times New Roman" w:hAnsi="Times New Roman"/>
          <w:b/>
          <w:i/>
          <w:sz w:val="20"/>
        </w:rPr>
        <w:t xml:space="preserve">Comment: </w:t>
      </w:r>
      <w:r>
        <w:rPr>
          <w:rFonts w:ascii="Times New Roman" w:hAnsi="Times New Roman"/>
          <w:i/>
          <w:sz w:val="20"/>
        </w:rPr>
        <w:t>The starting point of this work is the fact that a set of chaotic systems can synchronize even in the absence of mutual coupling when driven by a common external signal [...] This is a well-known phenomenon, characterized in the classical literature on chaotic systems. [...] I think this work should be mentioned, in particular for its section 5: Boccaletti, S., Kurths, J., Osipov, G., Valladares, D. L., &amp; Zhou, C. S. (2002). The synchronization of chaotic systems. Physics Reports, 366(1–2), 1–101. It goes without saying that it would be appreciated, at least in the continuation of this research line, to show the implications of the concept of synchronization in a simulation including some concrete aspect of biochemistry or biophysics.</w:t>
      </w:r>
    </w:p>
    <w:p>
      <w:pPr>
        <w:spacing w:after="240"/>
        <w:jc w:val="both"/>
      </w:pPr>
      <w:r>
        <w:rPr>
          <w:rFonts w:ascii="Times New Roman" w:hAnsi="Times New Roman"/>
          <w:b/>
          <w:sz w:val="20"/>
        </w:rPr>
        <w:t xml:space="preserve">Response: </w:t>
      </w:r>
      <w:r>
        <w:rPr>
          <w:rFonts w:ascii="Times New Roman" w:hAnsi="Times New Roman"/>
          <w:sz w:val="20"/>
        </w:rPr>
        <w:t>We thank the reviewer for this important reference. We have made two additions to the manuscript:</w:t>
        <w:br/>
        <w:br/>
        <w:t>(a) We now explicitly acknowledge in the Introduction that the synchronization of chaotic systems under common external forcing is a well-characterized phenomenon in nonlinear dynamics, citing Boccaletti et al. (2002) as reference 36. The relevant sentence reads: “More broadly, the synchronization of chaotic systems under common external forcing is a well-characterized phenomenon in nonlinear dynamics (36); even without mutual coupling, a shared driving signal can entrain individually chaotic units into coherent collective behavior.”</w:t>
        <w:br/>
        <w:br/>
        <w:t>(b) We have added a future-direction statement at the end of the Discussion noting that a natural extension of this work would be to test these principles in models incorporating concrete aspects of prebiotic biochemistry or biophysics — for example, populations of protocells with explicit metabolic kinetics under cyclic environmental forcing.</w:t>
      </w:r>
    </w:p>
    <w:p>
      <w:pPr>
        <w:pStyle w:val="Heading1"/>
      </w:pPr>
      <w:r>
        <w:rPr>
          <w:rFonts w:ascii="Times New Roman" w:hAnsi="Times New Roman"/>
          <w:color w:val="000000"/>
        </w:rPr>
        <w:t>Reviewer 3</w:t>
      </w:r>
    </w:p>
    <w:p>
      <w:pPr>
        <w:spacing w:after="80"/>
        <w:ind w:left="567"/>
        <w:jc w:val="both"/>
      </w:pPr>
      <w:r>
        <w:rPr>
          <w:rFonts w:ascii="Times New Roman" w:hAnsi="Times New Roman"/>
          <w:b/>
          <w:i/>
          <w:sz w:val="20"/>
        </w:rPr>
        <w:t xml:space="preserve">Comment: </w:t>
      </w:r>
      <w:r>
        <w:rPr>
          <w:rFonts w:ascii="Times New Roman" w:hAnsi="Times New Roman"/>
          <w:i/>
          <w:sz w:val="20"/>
        </w:rPr>
        <w:t>One minor suggestion would be to sharpen, perhaps in the Discussion, the distinction between externally imposed boundary conditions and internally generated coordination, to further preempt potential misunderstandings regarding "top-down" causation.</w:t>
      </w:r>
    </w:p>
    <w:p>
      <w:pPr>
        <w:spacing w:after="240"/>
        <w:jc w:val="both"/>
      </w:pPr>
      <w:r>
        <w:rPr>
          <w:rFonts w:ascii="Times New Roman" w:hAnsi="Times New Roman"/>
          <w:b/>
          <w:sz w:val="20"/>
        </w:rPr>
        <w:t xml:space="preserve">Response: </w:t>
      </w:r>
      <w:r>
        <w:rPr>
          <w:rFonts w:ascii="Times New Roman" w:hAnsi="Times New Roman"/>
          <w:sz w:val="20"/>
        </w:rPr>
        <w:t>We have added a new paragraph in the Discussion that explicitly distinguishes two modes of coordination often conflated under the umbrella of "top-down causation": (i) externally imposed boundary conditions — such as the modulated carrying capacity Kₙ in our model — which constrain all units from outside the system, and (ii) internally generated coordination arising from coupling among units themselves (e.g., autocatalytic feedback, cross-catalysis, or metabolic networks). The paragraph explains that our model demonstrates how external boundary conditions alone can produce the informational signatures of top-down influence, and connects this distinction to the CTE analysis: the environmental component reflects the boundary-condition mechanism, while the genuine residual CTE reflects emergent statistical structure from nonlinear aggregation — a form of collective information processing that goes beyond passive entrainment. This clarifies that the ‘top-down’ signal in our model is not a claim of autonomous macroscopic agency, but rather a demonstration that externally structured environments can generate the informational preconditions from which internally coordinated systems may subsequently emerge.</w:t>
      </w:r>
    </w:p>
    <w:sectPr w:rsidR="00FC693F" w:rsidRPr="0006063C" w:rsidSect="00034616">
      <w:pgSz w:w="12240" w:h="15840"/>
      <w:pgMar w:top="1151" w:right="1440" w:bottom="1151"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