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jc w:val="center"/>
      </w:pPr>
      <w:r>
        <w:rPr>
          <w:rFonts w:ascii="Times New Roman" w:hAnsi="Times New Roman"/>
          <w:sz w:val="32"/>
        </w:rPr>
        <w:t>Context Without Contact: Top-Down Information Flow from Shared Modulation in Uncoupled Prebiotic Systems</w:t>
      </w:r>
    </w:p>
    <w:p>
      <w:pPr>
        <w:spacing w:after="120" w:before="0"/>
        <w:jc w:val="left"/>
      </w:pPr>
      <w:r>
        <w:rPr>
          <w:rFonts w:ascii="Times New Roman" w:hAnsi="Times New Roman"/>
          <w:b/>
          <w:sz w:val="20"/>
        </w:rPr>
        <w:t>Abstract</w:t>
      </w:r>
    </w:p>
    <w:p>
      <w:pPr>
        <w:spacing w:after="240" w:before="0"/>
        <w:ind w:left="255" w:right="255"/>
        <w:jc w:val="both"/>
      </w:pPr>
      <w:r>
        <w:rPr>
          <w:rFonts w:ascii="Times New Roman" w:hAnsi="Times New Roman"/>
          <w:sz w:val="20"/>
        </w:rPr>
        <w:t xml:space="preserve">Shifts from bottom-up to top-down influences are considered a hallmark of major evolutionary transitions, including the origin of life. We explore how such directional information flow can arise without direct interactions among the system components using a minimal model of uncoupled logistic maps subject to a shared, time-varying constraint. Transfer entropy (TE) reveals a consistent macro-to-micro bias across diverse modulation profiles, along with increased inter-unit predictability and confinement of macroscopic dynamics to low-dimensional manifolds. </w:t>
      </w:r>
      <w:r>
        <w:rPr>
          <w:rFonts w:ascii="Times New Roman" w:hAnsi="Times New Roman"/>
          <w:color w:val="FF0000"/>
          <w:sz w:val="20"/>
        </w:rPr>
        <w:t xml:space="preserve">Conditional transfer entropy (CTE) analysis, in which the environmental signal is conditioned out, reveals a two-component structure: while the shared environment mediates a large fraction of the asymmetry, a genuine residual information flow from the mean field to individuals persists, peaking at intermediate modulation amplitudes. This residual demonstrates that nonlinear aggregation of uncoupled chaotic units generates emergent top-down predictive structure beyond common-driver effects. </w:t>
      </w:r>
      <w:r>
        <w:rPr>
          <w:rFonts w:ascii="Times New Roman" w:hAnsi="Times New Roman"/>
          <w:sz w:val="20"/>
        </w:rPr>
        <w:t xml:space="preserve">These results show that structured environmental variation alone is sufficient to generate an asymmetric </w:t>
      </w:r>
      <w:r>
        <w:rPr>
          <w:rFonts w:ascii="Times New Roman" w:hAnsi="Times New Roman"/>
          <w:color w:val="FF0000"/>
          <w:sz w:val="20"/>
        </w:rPr>
        <w:t xml:space="preserve">directional </w:t>
      </w:r>
      <w:r>
        <w:rPr>
          <w:rFonts w:ascii="Times New Roman" w:hAnsi="Times New Roman"/>
          <w:sz w:val="20"/>
        </w:rPr>
        <w:t xml:space="preserve">information flow </w:t>
      </w:r>
      <w:r>
        <w:rPr>
          <w:rFonts w:ascii="Times New Roman" w:hAnsi="Times New Roman"/>
          <w:color w:val="FF0000"/>
          <w:sz w:val="20"/>
        </w:rPr>
        <w:t>signature</w:t>
      </w:r>
      <w:r>
        <w:rPr>
          <w:rFonts w:ascii="Times New Roman" w:hAnsi="Times New Roman"/>
          <w:sz w:val="20"/>
        </w:rPr>
        <w:t>, suggesting that dynamic external constraints may serve as an early scaffold for coordination before the evolution of internal coupling mechanisms.</w:t>
      </w:r>
    </w:p>
    <w:p>
      <w:pPr>
        <w:spacing w:after="60" w:before="0"/>
        <w:jc w:val="both"/>
      </w:pPr>
      <w:r>
        <w:rPr>
          <w:rFonts w:ascii="Times New Roman" w:hAnsi="Times New Roman"/>
          <w:b/>
          <w:sz w:val="20"/>
        </w:rPr>
        <w:t>Word count:</w:t>
      </w:r>
      <w:r>
        <w:rPr>
          <w:rFonts w:ascii="Times New Roman" w:hAnsi="Times New Roman"/>
          <w:sz w:val="20"/>
        </w:rPr>
        <w:t xml:space="preserve"> </w:t>
      </w:r>
      <w:r>
        <w:rPr>
          <w:rFonts w:ascii="Times New Roman" w:hAnsi="Times New Roman"/>
          <w:color w:val="FF0000"/>
          <w:sz w:val="20"/>
        </w:rPr>
        <w:t>~4,200</w:t>
      </w:r>
      <w:r>
        <w:rPr>
          <w:rFonts w:ascii="Times New Roman" w:hAnsi="Times New Roman"/>
          <w:sz w:val="20"/>
        </w:rPr>
        <w:t xml:space="preserve"> words, excluding references.</w:t>
      </w:r>
    </w:p>
    <w:p>
      <w:pPr>
        <w:spacing w:after="60" w:before="0"/>
        <w:jc w:val="both"/>
      </w:pPr>
      <w:r>
        <w:rPr>
          <w:rFonts w:ascii="Times New Roman" w:hAnsi="Times New Roman"/>
          <w:b/>
          <w:sz w:val="20"/>
        </w:rPr>
        <w:t>Keywords:</w:t>
      </w:r>
      <w:r>
        <w:rPr>
          <w:rFonts w:ascii="Times New Roman" w:hAnsi="Times New Roman"/>
          <w:sz w:val="20"/>
        </w:rPr>
        <w:t xml:space="preserve"> origins of life, emergence, astrobiology, top-down causation</w:t>
      </w:r>
      <w:r>
        <w:rPr>
          <w:rFonts w:ascii="Times New Roman" w:hAnsi="Times New Roman"/>
          <w:color w:val="FF0000"/>
          <w:sz w:val="20"/>
        </w:rPr>
        <w:t>, transfer entropy, conditional transfer entropy</w:t>
      </w:r>
    </w:p>
    <w:p>
      <w:pPr>
        <w:spacing w:after="60" w:before="0"/>
        <w:jc w:val="both"/>
      </w:pPr>
      <w:r>
        <w:rPr>
          <w:rFonts w:ascii="Times New Roman" w:hAnsi="Times New Roman"/>
          <w:b/>
          <w:sz w:val="20"/>
        </w:rPr>
        <w:t>Ethical Compliance:</w:t>
      </w:r>
      <w:r>
        <w:rPr>
          <w:rFonts w:ascii="Times New Roman" w:hAnsi="Times New Roman"/>
          <w:sz w:val="20"/>
        </w:rPr>
        <w:t xml:space="preserve"> This article does not present research with ethical considerations</w:t>
      </w:r>
    </w:p>
    <w:p>
      <w:pPr>
        <w:spacing w:after="120" w:before="0"/>
        <w:jc w:val="both"/>
      </w:pPr>
      <w:r>
        <w:rPr>
          <w:rFonts w:ascii="Times New Roman" w:hAnsi="Times New Roman"/>
          <w:b/>
          <w:sz w:val="20"/>
        </w:rPr>
        <w:t>Conflict of Interest declaration:</w:t>
      </w:r>
      <w:r>
        <w:rPr>
          <w:rFonts w:ascii="Times New Roman" w:hAnsi="Times New Roman"/>
          <w:sz w:val="20"/>
        </w:rPr>
        <w:t xml:space="preserve"> The authors declare that they have no affiliations with or involvement in any organization or entity with any financial interest in the subject matter or materials discussed in this Manuscript.</w:t>
      </w:r>
    </w:p>
    <w:p>
      <w:r>
        <w:br w:type="page"/>
      </w:r>
    </w:p>
    <w:p>
      <w:pPr>
        <w:spacing w:before="360" w:after="160"/>
        <w:jc w:val="left"/>
      </w:pPr>
      <w:r>
        <w:rPr>
          <w:rFonts w:ascii="Times New Roman" w:hAnsi="Times New Roman"/>
          <w:b/>
          <w:sz w:val="28"/>
        </w:rPr>
        <w:t>Introduction</w:t>
      </w:r>
    </w:p>
    <w:p>
      <w:pPr>
        <w:spacing w:after="120" w:before="0"/>
        <w:jc w:val="both"/>
      </w:pPr>
      <w:r>
        <w:rPr>
          <w:rFonts w:ascii="Times New Roman" w:hAnsi="Times New Roman"/>
          <w:sz w:val="20"/>
        </w:rPr>
        <w:t>Top-down causation, in which higher-level organization shapes the dynamics of lower-level components, occurs at all scales of biological organization and helps explain the hierarchy of structures in living systems (1–3). Indeed, it has been proposed that shifts from predominantly bottom-up to predominantly top-down influences are hallmarks of major evolutionary transitions (4,5), including the emergence of life (6–8). In this view, higher-level organizations emerge from previously independent units and informational control arises at the collective level. One way to study such transitions is by examining the directional information flow between scales, specifically, whether the macroscopic state of a system can predict the dynamics of its parts better than the reverse (9).</w:t>
      </w:r>
    </w:p>
    <w:p>
      <w:pPr>
        <w:spacing w:after="120" w:before="0"/>
        <w:jc w:val="both"/>
      </w:pPr>
      <w:r>
        <w:rPr>
          <w:rFonts w:ascii="Times New Roman" w:hAnsi="Times New Roman"/>
          <w:color w:val="FF0000"/>
          <w:sz w:val="20"/>
        </w:rPr>
        <w:t>The concept of top-down causation in the context of the origin of life and major evolutionary transitions has received considerable theoretical attention. Walker and Davies (8) argued that the transition from non-life to life is fundamentally an informational transition, in which top-down causal structure becomes a defining feature of living systems. Ellis (6) provided a taxonomy of top-down causation mechanisms, distinguishing algorithmic, non-adaptive, and adaptive forms, and argued that downward causation is essential for understanding biological organization. Szathmáry and Smith (4) identified the major evolutionary transitions as events in which formerly independent replicating entities become integrated into higher-level units, a process that implies the emergence of top-down constraints. Szathmáry (5) further argued that the transition framework should be extended to include the informational and regulatory dimensions of these transitions. Auletta, Ellis, and Jaeger (2) framed top-down causation by information control as a scientific research programme, providing a philosophical foundation for empirical investigation. Walker (7) specifically connected the rise of informational control to the emergence of life, proposing that the origin of life involves a transition from dynamics governed solely by physical law to dynamics governed by information. These works collectively establish that top-down causation is a central, though still debated, concept in understanding how higher-level organization arises during evolutionary transitions. The present study contributes to this programme by asking whether the informational signatures of top-down influence can arise even in the absence of internal coupling, driven solely by shared environmental constraints.</w:t>
      </w:r>
    </w:p>
    <w:p>
      <w:pPr>
        <w:spacing w:after="120" w:before="0"/>
        <w:jc w:val="both"/>
      </w:pPr>
      <w:r>
        <w:rPr>
          <w:rFonts w:ascii="Times New Roman" w:hAnsi="Times New Roman"/>
          <w:sz w:val="20"/>
        </w:rPr>
        <w:t>This perspective motivates a key question particularly relevant for early chemical evolution: can asymmetric directional information flow between levels arise even in the absence of direct coupling among low-level components, driven solely by a shared environmental structure? Structured external cycles (such as tides, day–night rhythms, or wet–dry fluctuations) are known to promote essential prebiotic processes (10–12), but could such global patterns have also imposed system-wide constraints capable of coordinating dynamics across otherwise independent units?</w:t>
      </w:r>
    </w:p>
    <w:p>
      <w:pPr>
        <w:spacing w:after="120" w:before="0"/>
        <w:jc w:val="both"/>
      </w:pPr>
      <w:r>
        <w:rPr>
          <w:rFonts w:ascii="Times New Roman" w:hAnsi="Times New Roman"/>
          <w:color w:val="FF0000"/>
          <w:sz w:val="20"/>
        </w:rPr>
        <w:t>To investigate this question, we employ logistic maps as our model system. The logistic map, introduced by May (30) as a minimal model of population dynamics, has become a paradigmatic tool in nonlinear dynamics and computational biology. Despite its simplicity, it captures the essential features of density-dependent growth, including period-doubling cascades and deterministic chaos (31). More broadly, the synchronization of chaotic systems under common external forcing is a well-characterized phenomenon in nonlinear dynamics (36); even without mutual coupling, a shared driving signal can entrain individually chaotic units into coherent collective behavior. Coupled logistic maps have been widely used to study synchronization, collective behavior, and information flow in spatially extended systems (14,32). In the context of prebiotic chemistry, such minimal models are valuable because they isolate the dynamical consequences of environmental forcing from the biochemical complexity of real systems, allowing the identification of generic mechanisms that do not depend on molecular detail (33).</w:t>
      </w:r>
    </w:p>
    <w:p>
      <w:pPr>
        <w:spacing w:after="120" w:before="0"/>
        <w:jc w:val="both"/>
      </w:pPr>
      <w:r>
        <w:rPr>
          <w:rFonts w:ascii="Times New Roman" w:hAnsi="Times New Roman"/>
          <w:sz w:val="20"/>
        </w:rPr>
        <w:t>To probe this, we use a deliberately minimal model in which a population of uncoupled logistic maps is subject to a single time-varying global constraint, implemented as a sinusoidal modulation of the carrying capacity. We then investigated whether such purely environmental structuring could produce measurable macro-to-micro predictive bias. We computed Transfer Entropy (TE) (13) to quantify directional information flow. TE measures how much knowledge of the past of one variable improves predictions about the future of another, beyond what the variable's own past can explain.</w:t>
      </w:r>
    </w:p>
    <w:p>
      <w:pPr>
        <w:spacing w:after="120" w:before="0"/>
        <w:jc w:val="both"/>
      </w:pPr>
      <w:r>
        <w:rPr>
          <w:rFonts w:ascii="Times New Roman" w:hAnsi="Times New Roman"/>
          <w:color w:val="FF0000"/>
          <w:sz w:val="20"/>
        </w:rPr>
        <w:t>Transfer entropy, introduced by Schreiber (13), has become a standard tool for detecting directed information flow in complex systems. It has been applied extensively in neuroscience to map effective connectivity between brain regions (20,34), in climate science to identify causal interactions between climatic variables (22,24), and in ecology to characterize predator-prey and species interaction networks (35). In the context of multi-scale biological systems, TE has been used to quantify information flow between levels of organization, including the detection of top-down informational influence in coupled map lattices (9,14). A key limitation of standard TE is its sensitivity to common-driver confounds: when two variables share a common input, TE may detect apparent information transfer that is entirely attributable to the shared source (20–22). Conditional transfer entropy (CTE), which conditions out known confounding variables, provides a principled correction for this issue (23,24). We employ both unconditional and conditional TE in our analysis to distinguish genuine mean-field-driven information flow from environmentally scaffolded coordination.</w:t>
      </w:r>
    </w:p>
    <w:p>
      <w:pPr>
        <w:spacing w:after="120" w:before="0"/>
        <w:jc w:val="both"/>
      </w:pPr>
      <w:r>
        <w:rPr>
          <w:rFonts w:ascii="Times New Roman" w:hAnsi="Times New Roman"/>
          <w:sz w:val="20"/>
        </w:rPr>
        <w:t>While the interpretation of informational asymmetry as literal causation remains debated, here we treat it as an operational signal or a measurable statistical signature that may accompany early forms of coordinated behavior, regardless of whether an underlying causal mechanism is in place. This framework has been used to operationalize top-down informational influence in a system where units are explicitly coupled (9); however, here, the focus is on the limiting case with no internal coupling, isolating environmental structure as a potential driver of coordination in prebiotic contexts.</w:t>
      </w:r>
    </w:p>
    <w:p>
      <w:r>
        <w:br w:type="page"/>
      </w:r>
    </w:p>
    <w:p>
      <w:pPr>
        <w:spacing w:before="360" w:after="160"/>
        <w:jc w:val="left"/>
      </w:pPr>
      <w:r>
        <w:rPr>
          <w:rFonts w:ascii="Times New Roman" w:hAnsi="Times New Roman"/>
          <w:b/>
          <w:color w:val="FF0000"/>
          <w:sz w:val="28"/>
        </w:rPr>
        <w:t>Model</w:t>
      </w:r>
    </w:p>
    <w:p>
      <w:pPr>
        <w:spacing w:after="120" w:before="0"/>
        <w:jc w:val="both"/>
      </w:pPr>
      <w:r>
        <w:rPr>
          <w:rFonts w:ascii="Times New Roman" w:hAnsi="Times New Roman"/>
          <w:sz w:val="20"/>
        </w:rPr>
        <w:t xml:space="preserve">We consider a minimal system of </w:t>
      </w:r>
      <w:r>
        <w:rPr>
          <w:rFonts w:ascii="Times New Roman" w:hAnsi="Times New Roman"/>
          <w:i/>
          <w:sz w:val="20"/>
        </w:rPr>
        <w:t>N</w:t>
      </w:r>
      <w:r>
        <w:rPr>
          <w:rFonts w:ascii="Times New Roman" w:hAnsi="Times New Roman"/>
          <w:sz w:val="20"/>
        </w:rPr>
        <w:t xml:space="preserve"> uncoupled logistic maps, each evolving under a shared time-dependent carrying capacity,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 xml:space="preserve">. Let </w:t>
      </w:r>
      <w:r>
        <w:rPr>
          <w:rFonts w:ascii="Times New Roman" w:hAnsi="Times New Roman"/>
          <w:i/>
          <w:sz w:val="20"/>
        </w:rPr>
        <w:t>x</w:t>
      </w:r>
      <w:r>
        <w:rPr>
          <w:rFonts w:ascii="Times New Roman" w:hAnsi="Times New Roman"/>
          <w:sz w:val="20"/>
          <w:vertAlign w:val="subscript"/>
        </w:rPr>
        <w:t>i,n</w:t>
      </w:r>
      <w:r>
        <w:rPr>
          <w:rFonts w:ascii="Times New Roman" w:hAnsi="Times New Roman"/>
          <w:sz w:val="20"/>
        </w:rPr>
        <w:t xml:space="preserve"> denote the state of unit </w:t>
      </w:r>
      <w:r>
        <w:rPr>
          <w:rFonts w:ascii="Times New Roman" w:hAnsi="Times New Roman"/>
          <w:i/>
          <w:sz w:val="20"/>
        </w:rPr>
        <w:t>i</w:t>
      </w:r>
      <w:r>
        <w:rPr>
          <w:rFonts w:ascii="Times New Roman" w:hAnsi="Times New Roman"/>
          <w:sz w:val="20"/>
        </w:rPr>
        <w:t xml:space="preserve">, where </w:t>
      </w:r>
      <w:r>
        <w:rPr>
          <w:rFonts w:ascii="Times New Roman" w:hAnsi="Times New Roman"/>
          <w:i/>
          <w:sz w:val="20"/>
        </w:rPr>
        <w:t>i</w:t>
      </w:r>
      <w:r>
        <w:rPr>
          <w:rFonts w:ascii="Times New Roman" w:hAnsi="Times New Roman"/>
          <w:sz w:val="20"/>
        </w:rPr>
        <w:t xml:space="preserve"> = {1... </w:t>
      </w:r>
      <w:r>
        <w:rPr>
          <w:rFonts w:ascii="Times New Roman" w:hAnsi="Times New Roman"/>
          <w:i/>
          <w:sz w:val="20"/>
        </w:rPr>
        <w:t>N</w:t>
      </w:r>
      <w:r>
        <w:rPr>
          <w:rFonts w:ascii="Times New Roman" w:hAnsi="Times New Roman"/>
          <w:sz w:val="20"/>
        </w:rPr>
        <w:t xml:space="preserve">}, at discrete time step </w:t>
      </w:r>
      <w:r>
        <w:rPr>
          <w:rFonts w:ascii="Times New Roman" w:hAnsi="Times New Roman"/>
          <w:i/>
          <w:sz w:val="20"/>
        </w:rPr>
        <w:t>n</w:t>
      </w:r>
      <w:r>
        <w:rPr>
          <w:rFonts w:ascii="Times New Roman" w:hAnsi="Times New Roman"/>
          <w:sz w:val="20"/>
        </w:rPr>
        <w:t>. Each unit follows:</w:t>
      </w:r>
    </w:p>
    <w:p>
      <w:pPr>
        <w:spacing w:after="120" w:before="120"/>
        <w:jc w:val="center"/>
      </w:pPr>
      <w:r>
        <w:rPr>
          <w:rFonts w:ascii="Times New Roman" w:hAnsi="Times New Roman"/>
          <w:i/>
          <w:sz w:val="20"/>
        </w:rPr>
        <w:t>x</w:t>
      </w:r>
      <w:r>
        <w:rPr>
          <w:rFonts w:ascii="Times New Roman" w:hAnsi="Times New Roman"/>
          <w:sz w:val="20"/>
          <w:vertAlign w:val="subscript"/>
        </w:rPr>
        <w:t>i,n+1</w:t>
      </w:r>
      <w:r>
        <w:rPr>
          <w:rFonts w:ascii="Times New Roman" w:hAnsi="Times New Roman"/>
          <w:sz w:val="20"/>
        </w:rPr>
        <w:t xml:space="preserve"> = </w:t>
      </w:r>
      <w:r>
        <w:rPr>
          <w:rFonts w:ascii="Times New Roman" w:hAnsi="Times New Roman"/>
          <w:i/>
          <w:sz w:val="20"/>
        </w:rPr>
        <w:t>r</w:t>
      </w:r>
      <w:r>
        <w:rPr>
          <w:rFonts w:ascii="Times New Roman" w:hAnsi="Times New Roman"/>
          <w:sz w:val="20"/>
          <w:vertAlign w:val="subscript"/>
        </w:rPr>
        <w:t>i</w:t>
      </w:r>
      <w:r>
        <w:rPr>
          <w:rFonts w:ascii="Times New Roman" w:hAnsi="Times New Roman"/>
          <w:sz w:val="20"/>
        </w:rPr>
        <w:t xml:space="preserve"> </w:t>
      </w:r>
      <w:r>
        <w:rPr>
          <w:rFonts w:ascii="Times New Roman" w:hAnsi="Times New Roman"/>
          <w:i/>
          <w:sz w:val="20"/>
        </w:rPr>
        <w:t>x</w:t>
      </w:r>
      <w:r>
        <w:rPr>
          <w:rFonts w:ascii="Times New Roman" w:hAnsi="Times New Roman"/>
          <w:sz w:val="20"/>
          <w:vertAlign w:val="subscript"/>
        </w:rPr>
        <w:t>i,n</w:t>
      </w:r>
      <w:r>
        <w:rPr>
          <w:rFonts w:ascii="Times New Roman" w:hAnsi="Times New Roman"/>
          <w:sz w:val="20"/>
        </w:rPr>
        <w:t xml:space="preserve"> (1 − </w:t>
      </w:r>
      <w:r>
        <w:rPr>
          <w:rFonts w:ascii="Times New Roman" w:hAnsi="Times New Roman"/>
          <w:i/>
          <w:sz w:val="20"/>
        </w:rPr>
        <w:t>x</w:t>
      </w:r>
      <w:r>
        <w:rPr>
          <w:rFonts w:ascii="Times New Roman" w:hAnsi="Times New Roman"/>
          <w:sz w:val="20"/>
          <w:vertAlign w:val="subscript"/>
        </w:rPr>
        <w:t>i,n</w:t>
      </w:r>
      <w:r>
        <w:rPr>
          <w:rFonts w:ascii="Times New Roman" w:hAnsi="Times New Roman"/>
          <w:sz w:val="20"/>
        </w:rPr>
        <w:t xml:space="preserve"> /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w:t>
      </w:r>
    </w:p>
    <w:p>
      <w:pPr>
        <w:spacing w:after="120" w:before="0"/>
        <w:jc w:val="both"/>
      </w:pPr>
      <w:r>
        <w:rPr>
          <w:rFonts w:ascii="Times New Roman" w:hAnsi="Times New Roman"/>
          <w:sz w:val="20"/>
        </w:rPr>
        <w:t xml:space="preserve">where </w:t>
      </w:r>
      <w:r>
        <w:rPr>
          <w:rFonts w:ascii="Times New Roman" w:hAnsi="Times New Roman"/>
          <w:i/>
          <w:sz w:val="20"/>
        </w:rPr>
        <w:t>r</w:t>
      </w:r>
      <w:r>
        <w:rPr>
          <w:rFonts w:ascii="Times New Roman" w:hAnsi="Times New Roman"/>
          <w:sz w:val="20"/>
          <w:vertAlign w:val="subscript"/>
        </w:rPr>
        <w:t>i</w:t>
      </w:r>
      <w:r>
        <w:rPr>
          <w:rFonts w:ascii="Times New Roman" w:hAnsi="Times New Roman"/>
          <w:sz w:val="20"/>
        </w:rPr>
        <w:t xml:space="preserve"> ∈ [</w:t>
      </w:r>
      <w:r>
        <w:rPr>
          <w:rFonts w:ascii="Times New Roman" w:hAnsi="Times New Roman"/>
          <w:i/>
          <w:sz w:val="20"/>
        </w:rPr>
        <w:t>r</w:t>
      </w:r>
      <w:r>
        <w:rPr>
          <w:rFonts w:ascii="Times New Roman" w:hAnsi="Times New Roman"/>
          <w:sz w:val="20"/>
          <w:vertAlign w:val="subscript"/>
        </w:rPr>
        <w:t>min</w:t>
      </w:r>
      <w:r>
        <w:rPr>
          <w:rFonts w:ascii="Times New Roman" w:hAnsi="Times New Roman"/>
          <w:sz w:val="20"/>
        </w:rPr>
        <w:t xml:space="preserve">, </w:t>
      </w:r>
      <w:r>
        <w:rPr>
          <w:rFonts w:ascii="Times New Roman" w:hAnsi="Times New Roman"/>
          <w:i/>
          <w:sz w:val="20"/>
        </w:rPr>
        <w:t>r</w:t>
      </w:r>
      <w:r>
        <w:rPr>
          <w:rFonts w:ascii="Times New Roman" w:hAnsi="Times New Roman"/>
          <w:sz w:val="20"/>
          <w:vertAlign w:val="subscript"/>
        </w:rPr>
        <w:t>max</w:t>
      </w:r>
      <w:r>
        <w:rPr>
          <w:rFonts w:ascii="Times New Roman" w:hAnsi="Times New Roman"/>
          <w:sz w:val="20"/>
        </w:rPr>
        <w:t xml:space="preserve">] is sampled independently from a uniform distribution to ensure that, in the absence of modulation, each unit operates in a chaotic regime (9,14). There are no interactions among the units; the only shared influence is the global carrying capacity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 xml:space="preserve">, which is modulated sinusoidally as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 xml:space="preserve"> = </w:t>
      </w:r>
      <w:r>
        <w:rPr>
          <w:rFonts w:ascii="Times New Roman" w:hAnsi="Times New Roman"/>
          <w:i/>
          <w:sz w:val="20"/>
        </w:rPr>
        <w:t>K</w:t>
      </w:r>
      <w:r>
        <w:rPr>
          <w:rFonts w:ascii="Times New Roman" w:hAnsi="Times New Roman"/>
          <w:sz w:val="20"/>
          <w:vertAlign w:val="subscript"/>
        </w:rPr>
        <w:t>0</w:t>
      </w:r>
      <w:r>
        <w:rPr>
          <w:rFonts w:ascii="Times New Roman" w:hAnsi="Times New Roman"/>
          <w:sz w:val="20"/>
        </w:rPr>
        <w:t xml:space="preserve"> + </w:t>
      </w:r>
      <w:r>
        <w:rPr>
          <w:rFonts w:ascii="Times New Roman" w:hAnsi="Times New Roman"/>
          <w:i/>
          <w:sz w:val="20"/>
        </w:rPr>
        <w:t>A</w:t>
      </w:r>
      <w:r>
        <w:rPr>
          <w:rFonts w:ascii="Times New Roman" w:hAnsi="Times New Roman"/>
          <w:sz w:val="20"/>
        </w:rPr>
        <w:t xml:space="preserve"> sin(ω </w:t>
      </w:r>
      <w:r>
        <w:rPr>
          <w:rFonts w:ascii="Times New Roman" w:hAnsi="Times New Roman"/>
          <w:i/>
          <w:sz w:val="20"/>
        </w:rPr>
        <w:t>n</w:t>
      </w:r>
      <w:r>
        <w:rPr>
          <w:rFonts w:ascii="Times New Roman" w:hAnsi="Times New Roman"/>
          <w:sz w:val="20"/>
        </w:rPr>
        <w:t xml:space="preserve">). This modulation represents synchronized environmental rhythms (e.g., day–night cycles, tides, or wet–dry transitions) that affect the entire population. The macroscopic variable is defined as the </w:t>
      </w:r>
      <w:r>
        <w:rPr>
          <w:rFonts w:ascii="Times New Roman" w:hAnsi="Times New Roman"/>
          <w:color w:val="FF0000"/>
          <w:sz w:val="20"/>
        </w:rPr>
        <w:t>mean field</w:t>
      </w:r>
      <w:r>
        <w:rPr>
          <w:rFonts w:ascii="Times New Roman" w:hAnsi="Times New Roman"/>
          <w:sz w:val="20"/>
        </w:rPr>
        <w:t xml:space="preserve">: </w:t>
      </w:r>
      <w:r>
        <w:rPr>
          <w:rFonts w:ascii="Times New Roman" w:hAnsi="Times New Roman"/>
          <w:i/>
          <w:sz w:val="20"/>
        </w:rPr>
        <w:t>M</w:t>
      </w:r>
      <w:r>
        <w:rPr>
          <w:rFonts w:ascii="Times New Roman" w:hAnsi="Times New Roman"/>
          <w:sz w:val="20"/>
          <w:vertAlign w:val="subscript"/>
        </w:rPr>
        <w:t>n</w:t>
      </w:r>
      <w:r>
        <w:rPr>
          <w:rFonts w:ascii="Times New Roman" w:hAnsi="Times New Roman"/>
          <w:sz w:val="20"/>
        </w:rPr>
        <w:t xml:space="preserve"> = (1/</w:t>
      </w:r>
      <w:r>
        <w:rPr>
          <w:rFonts w:ascii="Times New Roman" w:hAnsi="Times New Roman"/>
          <w:i/>
          <w:sz w:val="20"/>
        </w:rPr>
        <w:t>N</w:t>
      </w:r>
      <w:r>
        <w:rPr>
          <w:rFonts w:ascii="Times New Roman" w:hAnsi="Times New Roman"/>
          <w:sz w:val="20"/>
        </w:rPr>
        <w:t>) ∑</w:t>
      </w:r>
      <w:r>
        <w:rPr>
          <w:rFonts w:ascii="Times New Roman" w:hAnsi="Times New Roman"/>
          <w:sz w:val="20"/>
          <w:vertAlign w:val="subscript"/>
        </w:rPr>
        <w:t>i=1..N</w:t>
      </w:r>
      <w:r>
        <w:rPr>
          <w:rFonts w:ascii="Times New Roman" w:hAnsi="Times New Roman"/>
          <w:sz w:val="20"/>
        </w:rPr>
        <w:t xml:space="preserve"> </w:t>
      </w:r>
      <w:r>
        <w:rPr>
          <w:rFonts w:ascii="Times New Roman" w:hAnsi="Times New Roman"/>
          <w:i/>
          <w:sz w:val="20"/>
        </w:rPr>
        <w:t>x</w:t>
      </w:r>
      <w:r>
        <w:rPr>
          <w:rFonts w:ascii="Times New Roman" w:hAnsi="Times New Roman"/>
          <w:sz w:val="20"/>
          <w:vertAlign w:val="subscript"/>
        </w:rPr>
        <w:t>i,n</w:t>
      </w:r>
      <w:r>
        <w:rPr>
          <w:rFonts w:ascii="Times New Roman" w:hAnsi="Times New Roman"/>
          <w:sz w:val="20"/>
        </w:rPr>
        <w:t>.</w:t>
      </w:r>
    </w:p>
    <w:p>
      <w:pPr>
        <w:spacing w:after="120" w:before="0"/>
        <w:jc w:val="both"/>
      </w:pPr>
      <w:r>
        <w:rPr>
          <w:rFonts w:ascii="Times New Roman" w:hAnsi="Times New Roman"/>
          <w:sz w:val="20"/>
        </w:rPr>
        <w:t xml:space="preserve">While abstract, the model components can be loosely interpreted in prebiotic terms: the global constraint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 xml:space="preserve"> represents an externally imposed limit on the system carrying capacity (e.g., availability of resources, space, or favorable conditions), the intrinsic parameters </w:t>
      </w:r>
      <w:r>
        <w:rPr>
          <w:rFonts w:ascii="Times New Roman" w:hAnsi="Times New Roman"/>
          <w:i/>
          <w:sz w:val="20"/>
        </w:rPr>
        <w:t>r</w:t>
      </w:r>
      <w:r>
        <w:rPr>
          <w:rFonts w:ascii="Times New Roman" w:hAnsi="Times New Roman"/>
          <w:sz w:val="20"/>
          <w:vertAlign w:val="subscript"/>
        </w:rPr>
        <w:t>i</w:t>
      </w:r>
      <w:r>
        <w:rPr>
          <w:rFonts w:ascii="Times New Roman" w:hAnsi="Times New Roman"/>
          <w:sz w:val="20"/>
        </w:rPr>
        <w:t xml:space="preserve"> reflect heterogeneity in how individual entities respond to that environment, and the </w:t>
      </w:r>
      <w:r>
        <w:rPr>
          <w:rFonts w:ascii="Times New Roman" w:hAnsi="Times New Roman"/>
          <w:color w:val="FF0000"/>
          <w:sz w:val="20"/>
        </w:rPr>
        <w:t>mean field</w:t>
      </w:r>
      <w:r>
        <w:rPr>
          <w:rFonts w:ascii="Times New Roman" w:hAnsi="Times New Roman"/>
          <w:sz w:val="20"/>
        </w:rPr>
        <w:t xml:space="preserve"> </w:t>
      </w:r>
      <w:r>
        <w:rPr>
          <w:rFonts w:ascii="Times New Roman" w:hAnsi="Times New Roman"/>
          <w:i/>
          <w:sz w:val="20"/>
        </w:rPr>
        <w:t>M</w:t>
      </w:r>
      <w:r>
        <w:rPr>
          <w:rFonts w:ascii="Times New Roman" w:hAnsi="Times New Roman"/>
          <w:sz w:val="20"/>
          <w:vertAlign w:val="subscript"/>
        </w:rPr>
        <w:t>n</w:t>
      </w:r>
      <w:r>
        <w:rPr>
          <w:rFonts w:ascii="Times New Roman" w:hAnsi="Times New Roman"/>
          <w:sz w:val="20"/>
        </w:rPr>
        <w:t xml:space="preserve"> captures an aggregate property of the population, such as an overall reaction yield or bulk chemical state.</w:t>
      </w:r>
    </w:p>
    <w:p>
      <w:pPr>
        <w:spacing w:before="240" w:after="120"/>
        <w:jc w:val="left"/>
      </w:pPr>
      <w:r>
        <w:rPr>
          <w:rFonts w:ascii="Times New Roman" w:hAnsi="Times New Roman"/>
          <w:b/>
          <w:color w:val="FF0000"/>
          <w:sz w:val="24"/>
        </w:rPr>
        <w:t>Parameter choices</w:t>
      </w:r>
    </w:p>
    <w:p>
      <w:pPr>
        <w:spacing w:after="120" w:before="0"/>
        <w:jc w:val="both"/>
      </w:pPr>
      <w:r>
        <w:rPr>
          <w:rFonts w:ascii="Times New Roman" w:hAnsi="Times New Roman"/>
          <w:color w:val="FF0000"/>
          <w:sz w:val="20"/>
        </w:rPr>
        <w:t>Table 1 summarizes all model and analysis parameters together with their justifications. The growth rate interval [3.9, 4.0] ensures that all units operate deep within the chaotic regime of the logistic map (31), guaranteeing sensitive dependence on initial conditions and preventing periodic orbits that would trivially synchronize. The baseline carrying capacity K</w:t>
      </w:r>
      <w:r>
        <w:rPr>
          <w:rFonts w:ascii="Times New Roman" w:hAnsi="Times New Roman"/>
          <w:color w:val="FF0000"/>
          <w:sz w:val="20"/>
          <w:vertAlign w:val="subscript"/>
        </w:rPr>
        <w:t>0</w:t>
      </w:r>
      <w:r>
        <w:rPr>
          <w:rFonts w:ascii="Times New Roman" w:hAnsi="Times New Roman"/>
          <w:color w:val="FF0000"/>
          <w:sz w:val="20"/>
        </w:rPr>
        <w:t xml:space="preserve"> = 100 is a conventional scaling choice; because the logistic map dynamics depend on the ratio x/K rather than absolute values, results are invariant to this scale. The modulation amplitude A is swept from 0 to 60 to explore the full range from no modulation to strong modulation (A/K</w:t>
      </w:r>
      <w:r>
        <w:rPr>
          <w:rFonts w:ascii="Times New Roman" w:hAnsi="Times New Roman"/>
          <w:color w:val="FF0000"/>
          <w:sz w:val="20"/>
          <w:vertAlign w:val="subscript"/>
        </w:rPr>
        <w:t>0</w:t>
      </w:r>
      <w:r>
        <w:rPr>
          <w:rFonts w:ascii="Times New Roman" w:hAnsi="Times New Roman"/>
          <w:color w:val="FF0000"/>
          <w:sz w:val="20"/>
        </w:rPr>
        <w:t xml:space="preserve"> up to 0.6). The angular frequency ω = 2π/2000 was chosen to provide approximately 4.5 full modulation cycles within the analysis window, balancing statistical power with temporal resolution; robustness to ω is demonstrated in the inset of Figure 1B. The population size N = 1000 ensures that the mean field is a well-averaged macroscopic quantity (√N averaging reduces idiosyncratic noise by a factor of ~31.6). The total simulation length T = 10,000 with the first 1,000 steps discarded as transients provides T</w:t>
      </w:r>
      <w:r>
        <w:rPr>
          <w:rFonts w:ascii="Times New Roman" w:hAnsi="Times New Roman"/>
          <w:color w:val="FF0000"/>
          <w:sz w:val="20"/>
          <w:vertAlign w:val="subscript"/>
        </w:rPr>
        <w:t>eff</w:t>
      </w:r>
      <w:r>
        <w:rPr>
          <w:rFonts w:ascii="Times New Roman" w:hAnsi="Times New Roman"/>
          <w:color w:val="FF0000"/>
          <w:sz w:val="20"/>
        </w:rPr>
        <w:t xml:space="preserve"> = 9,000 time points for analysis, sufficient for reliable histogram-based TE estimation.</w:t>
      </w:r>
    </w:p>
    <w:tbl>
      <w:tblPr>
        <w:tblStyle w:val="TableGrid"/>
        <w:tblW w:type="auto" w:w="0"/>
        <w:tblLook w:firstColumn="1" w:firstRow="1" w:lastColumn="0" w:lastRow="0" w:noHBand="0" w:noVBand="1" w:val="04A0"/>
      </w:tblPr>
      <w:tblGrid>
        <w:gridCol w:w="3120"/>
        <w:gridCol w:w="3120"/>
        <w:gridCol w:w="3120"/>
      </w:tblGrid>
      <w:tr>
        <w:tc>
          <w:tcPr>
            <w:tcW w:type="dxa" w:w="1587"/>
            <w:shd w:val="clear" w:color="auto" w:fill="E6E6E6"/>
          </w:tcPr>
          <w:p>
            <w:pPr>
              <w:spacing w:after="0" w:before="0"/>
            </w:pPr>
            <w:r>
              <w:rPr>
                <w:rFonts w:ascii="Times New Roman" w:hAnsi="Times New Roman"/>
                <w:b/>
                <w:color w:val="FF0000"/>
                <w:sz w:val="16"/>
              </w:rPr>
              <w:t>Parameter</w:t>
            </w:r>
          </w:p>
        </w:tc>
        <w:tc>
          <w:tcPr>
            <w:tcW w:type="dxa" w:w="1134"/>
            <w:shd w:val="clear" w:color="auto" w:fill="E6E6E6"/>
          </w:tcPr>
          <w:p>
            <w:pPr>
              <w:spacing w:after="0" w:before="0"/>
            </w:pPr>
            <w:r>
              <w:rPr>
                <w:rFonts w:ascii="Times New Roman" w:hAnsi="Times New Roman"/>
                <w:b/>
                <w:color w:val="FF0000"/>
                <w:sz w:val="16"/>
              </w:rPr>
              <w:t>Value</w:t>
            </w:r>
          </w:p>
        </w:tc>
        <w:tc>
          <w:tcPr>
            <w:tcW w:type="dxa" w:w="5216"/>
            <w:shd w:val="clear" w:color="auto" w:fill="E6E6E6"/>
          </w:tcPr>
          <w:p>
            <w:pPr>
              <w:spacing w:after="0" w:before="0"/>
            </w:pPr>
            <w:r>
              <w:rPr>
                <w:rFonts w:ascii="Times New Roman" w:hAnsi="Times New Roman"/>
                <w:b/>
                <w:color w:val="FF0000"/>
                <w:sz w:val="16"/>
              </w:rPr>
              <w:t>Rationale</w:t>
            </w:r>
          </w:p>
        </w:tc>
      </w:tr>
      <w:tr>
        <w:tc>
          <w:tcPr>
            <w:tcW w:type="dxa" w:w="1587"/>
          </w:tcPr>
          <w:p>
            <w:pPr>
              <w:spacing w:after="0" w:before="0"/>
            </w:pPr>
            <w:r>
              <w:rPr>
                <w:rFonts w:ascii="Times New Roman" w:hAnsi="Times New Roman"/>
                <w:i/>
                <w:color w:val="FF0000"/>
                <w:sz w:val="16"/>
              </w:rPr>
              <w:t>r</w:t>
            </w:r>
            <w:r>
              <w:rPr>
                <w:rFonts w:ascii="Times New Roman" w:hAnsi="Times New Roman"/>
                <w:color w:val="FF0000"/>
                <w:sz w:val="16"/>
                <w:vertAlign w:val="subscript"/>
              </w:rPr>
              <w:t>min</w:t>
            </w:r>
            <w:r>
              <w:rPr>
                <w:rFonts w:ascii="Times New Roman" w:hAnsi="Times New Roman"/>
                <w:color w:val="FF0000"/>
                <w:sz w:val="16"/>
              </w:rPr>
              <w:t xml:space="preserve">, </w:t>
            </w:r>
            <w:r>
              <w:rPr>
                <w:rFonts w:ascii="Times New Roman" w:hAnsi="Times New Roman"/>
                <w:i/>
                <w:color w:val="FF0000"/>
                <w:sz w:val="16"/>
              </w:rPr>
              <w:t>r</w:t>
            </w:r>
            <w:r>
              <w:rPr>
                <w:rFonts w:ascii="Times New Roman" w:hAnsi="Times New Roman"/>
                <w:color w:val="FF0000"/>
                <w:sz w:val="16"/>
                <w:vertAlign w:val="subscript"/>
              </w:rPr>
              <w:t>max</w:t>
            </w:r>
          </w:p>
        </w:tc>
        <w:tc>
          <w:tcPr>
            <w:tcW w:type="dxa" w:w="1134"/>
          </w:tcPr>
          <w:p>
            <w:pPr>
              <w:spacing w:after="0" w:before="0"/>
            </w:pPr>
            <w:r>
              <w:rPr>
                <w:rFonts w:ascii="Times New Roman" w:hAnsi="Times New Roman"/>
                <w:color w:val="FF0000"/>
                <w:sz w:val="16"/>
              </w:rPr>
              <w:t>3.9, 4.0</w:t>
            </w:r>
          </w:p>
        </w:tc>
        <w:tc>
          <w:tcPr>
            <w:tcW w:type="dxa" w:w="5216"/>
          </w:tcPr>
          <w:p>
            <w:pPr>
              <w:spacing w:after="0" w:before="0"/>
            </w:pPr>
            <w:r>
              <w:rPr>
                <w:rFonts w:ascii="Times New Roman" w:hAnsi="Times New Roman"/>
                <w:color w:val="FF0000"/>
                <w:sz w:val="16"/>
              </w:rPr>
              <w:t>Deep chaotic regime; avoids periodic windows (9,14,31)</w:t>
            </w:r>
          </w:p>
        </w:tc>
      </w:tr>
      <w:tr>
        <w:tc>
          <w:tcPr>
            <w:tcW w:type="dxa" w:w="1587"/>
          </w:tcPr>
          <w:p>
            <w:pPr>
              <w:spacing w:after="0" w:before="0"/>
            </w:pPr>
            <w:r>
              <w:rPr>
                <w:rFonts w:ascii="Times New Roman" w:hAnsi="Times New Roman"/>
                <w:i/>
                <w:color w:val="FF0000"/>
                <w:sz w:val="16"/>
              </w:rPr>
              <w:t>K</w:t>
            </w:r>
            <w:r>
              <w:rPr>
                <w:rFonts w:ascii="Times New Roman" w:hAnsi="Times New Roman"/>
                <w:color w:val="FF0000"/>
                <w:sz w:val="16"/>
                <w:vertAlign w:val="subscript"/>
              </w:rPr>
              <w:t>0</w:t>
            </w:r>
          </w:p>
        </w:tc>
        <w:tc>
          <w:tcPr>
            <w:tcW w:type="dxa" w:w="1134"/>
          </w:tcPr>
          <w:p>
            <w:pPr>
              <w:spacing w:after="0" w:before="0"/>
            </w:pPr>
            <w:r>
              <w:rPr>
                <w:rFonts w:ascii="Times New Roman" w:hAnsi="Times New Roman"/>
                <w:color w:val="FF0000"/>
                <w:sz w:val="16"/>
              </w:rPr>
              <w:t>100</w:t>
            </w:r>
          </w:p>
        </w:tc>
        <w:tc>
          <w:tcPr>
            <w:tcW w:type="dxa" w:w="5216"/>
          </w:tcPr>
          <w:p>
            <w:pPr>
              <w:spacing w:after="0" w:before="0"/>
            </w:pPr>
            <w:r>
              <w:rPr>
                <w:rFonts w:ascii="Times New Roman" w:hAnsi="Times New Roman"/>
                <w:color w:val="FF0000"/>
                <w:sz w:val="16"/>
              </w:rPr>
              <w:t>Conventional scale; results invariant to rescaling</w:t>
            </w:r>
          </w:p>
        </w:tc>
      </w:tr>
      <w:tr>
        <w:tc>
          <w:tcPr>
            <w:tcW w:type="dxa" w:w="1587"/>
          </w:tcPr>
          <w:p>
            <w:pPr>
              <w:spacing w:after="0" w:before="0"/>
            </w:pPr>
            <w:r>
              <w:rPr>
                <w:rFonts w:ascii="Times New Roman" w:hAnsi="Times New Roman"/>
                <w:i/>
                <w:color w:val="FF0000"/>
                <w:sz w:val="16"/>
              </w:rPr>
              <w:t>A</w:t>
            </w:r>
          </w:p>
        </w:tc>
        <w:tc>
          <w:tcPr>
            <w:tcW w:type="dxa" w:w="1134"/>
          </w:tcPr>
          <w:p>
            <w:pPr>
              <w:spacing w:after="0" w:before="0"/>
            </w:pPr>
            <w:r>
              <w:rPr>
                <w:rFonts w:ascii="Times New Roman" w:hAnsi="Times New Roman"/>
                <w:color w:val="FF0000"/>
                <w:sz w:val="16"/>
              </w:rPr>
              <w:t>0–60</w:t>
            </w:r>
          </w:p>
        </w:tc>
        <w:tc>
          <w:tcPr>
            <w:tcW w:type="dxa" w:w="5216"/>
          </w:tcPr>
          <w:p>
            <w:pPr>
              <w:spacing w:after="0" w:before="0"/>
            </w:pPr>
            <w:r>
              <w:rPr>
                <w:rFonts w:ascii="Times New Roman" w:hAnsi="Times New Roman"/>
                <w:color w:val="FF0000"/>
                <w:sz w:val="16"/>
              </w:rPr>
              <w:t>Swept; covers A/K</w:t>
            </w:r>
            <w:r>
              <w:rPr>
                <w:rFonts w:ascii="Times New Roman" w:hAnsi="Times New Roman"/>
                <w:color w:val="FF0000"/>
                <w:sz w:val="16"/>
                <w:vertAlign w:val="subscript"/>
              </w:rPr>
              <w:t>0</w:t>
            </w:r>
            <w:r>
              <w:rPr>
                <w:rFonts w:ascii="Times New Roman" w:hAnsi="Times New Roman"/>
                <w:color w:val="FF0000"/>
                <w:sz w:val="16"/>
              </w:rPr>
              <w:t xml:space="preserve"> = 0 to 0.6</w:t>
            </w:r>
          </w:p>
        </w:tc>
      </w:tr>
      <w:tr>
        <w:tc>
          <w:tcPr>
            <w:tcW w:type="dxa" w:w="1587"/>
          </w:tcPr>
          <w:p>
            <w:pPr>
              <w:spacing w:after="0" w:before="0"/>
            </w:pPr>
            <w:r>
              <w:rPr>
                <w:rFonts w:ascii="Times New Roman" w:hAnsi="Times New Roman"/>
                <w:color w:val="FF0000"/>
                <w:sz w:val="16"/>
              </w:rPr>
              <w:t>ω</w:t>
            </w:r>
          </w:p>
        </w:tc>
        <w:tc>
          <w:tcPr>
            <w:tcW w:type="dxa" w:w="1134"/>
          </w:tcPr>
          <w:p>
            <w:pPr>
              <w:spacing w:after="0" w:before="0"/>
            </w:pPr>
            <w:r>
              <w:rPr>
                <w:rFonts w:ascii="Times New Roman" w:hAnsi="Times New Roman"/>
                <w:color w:val="FF0000"/>
                <w:sz w:val="16"/>
              </w:rPr>
              <w:t>2π/2000</w:t>
            </w:r>
          </w:p>
        </w:tc>
        <w:tc>
          <w:tcPr>
            <w:tcW w:type="dxa" w:w="5216"/>
          </w:tcPr>
          <w:p>
            <w:pPr>
              <w:spacing w:after="0" w:before="0"/>
            </w:pPr>
            <w:r>
              <w:rPr>
                <w:rFonts w:ascii="Times New Roman" w:hAnsi="Times New Roman"/>
                <w:color w:val="FF0000"/>
                <w:sz w:val="16"/>
              </w:rPr>
              <w:t>~4.5 cycles in analysis window; robustness shown in Fig. 1B inset</w:t>
            </w:r>
          </w:p>
        </w:tc>
      </w:tr>
      <w:tr>
        <w:tc>
          <w:tcPr>
            <w:tcW w:type="dxa" w:w="1587"/>
          </w:tcPr>
          <w:p>
            <w:pPr>
              <w:spacing w:after="0" w:before="0"/>
            </w:pPr>
            <w:r>
              <w:rPr>
                <w:rFonts w:ascii="Times New Roman" w:hAnsi="Times New Roman"/>
                <w:i/>
                <w:color w:val="FF0000"/>
                <w:sz w:val="16"/>
              </w:rPr>
              <w:t>N</w:t>
            </w:r>
          </w:p>
        </w:tc>
        <w:tc>
          <w:tcPr>
            <w:tcW w:type="dxa" w:w="1134"/>
          </w:tcPr>
          <w:p>
            <w:pPr>
              <w:spacing w:after="0" w:before="0"/>
            </w:pPr>
            <w:r>
              <w:rPr>
                <w:rFonts w:ascii="Times New Roman" w:hAnsi="Times New Roman"/>
                <w:color w:val="FF0000"/>
                <w:sz w:val="16"/>
              </w:rPr>
              <w:t>1000</w:t>
            </w:r>
          </w:p>
        </w:tc>
        <w:tc>
          <w:tcPr>
            <w:tcW w:type="dxa" w:w="5216"/>
          </w:tcPr>
          <w:p>
            <w:pPr>
              <w:spacing w:after="0" w:before="0"/>
            </w:pPr>
            <w:r>
              <w:rPr>
                <w:rFonts w:ascii="Times New Roman" w:hAnsi="Times New Roman"/>
                <w:color w:val="FF0000"/>
                <w:sz w:val="16"/>
              </w:rPr>
              <w:t>Large enough for well-averaged mean field (√N ≈ 31.6)</w:t>
            </w:r>
          </w:p>
        </w:tc>
      </w:tr>
      <w:tr>
        <w:tc>
          <w:tcPr>
            <w:tcW w:type="dxa" w:w="1587"/>
          </w:tcPr>
          <w:p>
            <w:pPr>
              <w:spacing w:after="0" w:before="0"/>
            </w:pPr>
            <w:r>
              <w:rPr>
                <w:rFonts w:ascii="Times New Roman" w:hAnsi="Times New Roman"/>
                <w:i/>
                <w:color w:val="FF0000"/>
                <w:sz w:val="16"/>
              </w:rPr>
              <w:t>T</w:t>
            </w:r>
          </w:p>
        </w:tc>
        <w:tc>
          <w:tcPr>
            <w:tcW w:type="dxa" w:w="1134"/>
          </w:tcPr>
          <w:p>
            <w:pPr>
              <w:spacing w:after="0" w:before="0"/>
            </w:pPr>
            <w:r>
              <w:rPr>
                <w:rFonts w:ascii="Times New Roman" w:hAnsi="Times New Roman"/>
                <w:color w:val="FF0000"/>
                <w:sz w:val="16"/>
              </w:rPr>
              <w:t>10,000</w:t>
            </w:r>
          </w:p>
        </w:tc>
        <w:tc>
          <w:tcPr>
            <w:tcW w:type="dxa" w:w="5216"/>
          </w:tcPr>
          <w:p>
            <w:pPr>
              <w:spacing w:after="0" w:before="0"/>
            </w:pPr>
            <w:r>
              <w:rPr>
                <w:rFonts w:ascii="Times New Roman" w:hAnsi="Times New Roman"/>
                <w:color w:val="FF0000"/>
                <w:sz w:val="16"/>
              </w:rPr>
              <w:t>Sufficient length for TE estimation; first 1,000 discarded</w:t>
            </w:r>
          </w:p>
        </w:tc>
      </w:tr>
      <w:tr>
        <w:tc>
          <w:tcPr>
            <w:tcW w:type="dxa" w:w="1587"/>
          </w:tcPr>
          <w:p>
            <w:pPr>
              <w:spacing w:after="0" w:before="0"/>
            </w:pPr>
            <w:r>
              <w:rPr>
                <w:rFonts w:ascii="Times New Roman" w:hAnsi="Times New Roman"/>
                <w:color w:val="FF0000"/>
                <w:sz w:val="16"/>
              </w:rPr>
              <w:t>Bins</w:t>
            </w:r>
          </w:p>
        </w:tc>
        <w:tc>
          <w:tcPr>
            <w:tcW w:type="dxa" w:w="1134"/>
          </w:tcPr>
          <w:p>
            <w:pPr>
              <w:spacing w:after="0" w:before="0"/>
            </w:pPr>
            <w:r>
              <w:rPr>
                <w:rFonts w:ascii="Times New Roman" w:hAnsi="Times New Roman"/>
                <w:color w:val="FF0000"/>
                <w:sz w:val="16"/>
              </w:rPr>
              <w:t>15</w:t>
            </w:r>
          </w:p>
        </w:tc>
        <w:tc>
          <w:tcPr>
            <w:tcW w:type="dxa" w:w="5216"/>
          </w:tcPr>
          <w:p>
            <w:pPr>
              <w:spacing w:after="0" w:before="0"/>
            </w:pPr>
            <w:r>
              <w:rPr>
                <w:rFonts w:ascii="Times New Roman" w:hAnsi="Times New Roman"/>
                <w:color w:val="FF0000"/>
                <w:sz w:val="16"/>
              </w:rPr>
              <w:t>Standard for histogram-based TE; balances bias and variance (13)</w:t>
            </w:r>
          </w:p>
        </w:tc>
      </w:tr>
      <w:tr>
        <w:tc>
          <w:tcPr>
            <w:tcW w:type="dxa" w:w="1587"/>
          </w:tcPr>
          <w:p>
            <w:pPr>
              <w:spacing w:after="0" w:before="0"/>
            </w:pPr>
            <w:r>
              <w:rPr>
                <w:rFonts w:ascii="Times New Roman" w:hAnsi="Times New Roman"/>
                <w:color w:val="FF0000"/>
                <w:sz w:val="16"/>
              </w:rPr>
              <w:t xml:space="preserve">Lag </w:t>
            </w:r>
            <w:r>
              <w:rPr>
                <w:rFonts w:ascii="Times New Roman" w:hAnsi="Times New Roman"/>
                <w:i/>
                <w:color w:val="FF0000"/>
                <w:sz w:val="16"/>
              </w:rPr>
              <w:t>k</w:t>
            </w:r>
          </w:p>
        </w:tc>
        <w:tc>
          <w:tcPr>
            <w:tcW w:type="dxa" w:w="1134"/>
          </w:tcPr>
          <w:p>
            <w:pPr>
              <w:spacing w:after="0" w:before="0"/>
            </w:pPr>
            <w:r>
              <w:rPr>
                <w:rFonts w:ascii="Times New Roman" w:hAnsi="Times New Roman"/>
                <w:color w:val="FF0000"/>
                <w:sz w:val="16"/>
              </w:rPr>
              <w:t>2</w:t>
            </w:r>
          </w:p>
        </w:tc>
        <w:tc>
          <w:tcPr>
            <w:tcW w:type="dxa" w:w="5216"/>
          </w:tcPr>
          <w:p>
            <w:pPr>
              <w:spacing w:after="0" w:before="0"/>
            </w:pPr>
            <w:r>
              <w:rPr>
                <w:rFonts w:ascii="Times New Roman" w:hAnsi="Times New Roman"/>
                <w:color w:val="FF0000"/>
                <w:sz w:val="16"/>
              </w:rPr>
              <w:t>Avoids near-synchronous inflation at k=1; see Fig. S1</w:t>
            </w:r>
          </w:p>
        </w:tc>
      </w:tr>
      <w:tr>
        <w:tc>
          <w:tcPr>
            <w:tcW w:type="dxa" w:w="1587"/>
          </w:tcPr>
          <w:p>
            <w:pPr>
              <w:spacing w:after="0" w:before="0"/>
            </w:pPr>
            <w:r>
              <w:rPr>
                <w:rFonts w:ascii="Times New Roman" w:hAnsi="Times New Roman"/>
                <w:color w:val="FF0000"/>
                <w:sz w:val="16"/>
              </w:rPr>
              <w:t>Surrogates</w:t>
            </w:r>
          </w:p>
        </w:tc>
        <w:tc>
          <w:tcPr>
            <w:tcW w:type="dxa" w:w="1134"/>
          </w:tcPr>
          <w:p>
            <w:pPr>
              <w:spacing w:after="0" w:before="0"/>
            </w:pPr>
            <w:r>
              <w:rPr>
                <w:rFonts w:ascii="Times New Roman" w:hAnsi="Times New Roman"/>
                <w:color w:val="FF0000"/>
                <w:sz w:val="16"/>
              </w:rPr>
              <w:t>100</w:t>
            </w:r>
          </w:p>
        </w:tc>
        <w:tc>
          <w:tcPr>
            <w:tcW w:type="dxa" w:w="5216"/>
          </w:tcPr>
          <w:p>
            <w:pPr>
              <w:spacing w:after="0" w:before="0"/>
            </w:pPr>
            <w:r>
              <w:rPr>
                <w:rFonts w:ascii="Times New Roman" w:hAnsi="Times New Roman"/>
                <w:color w:val="FF0000"/>
                <w:sz w:val="16"/>
              </w:rPr>
              <w:t>Circular-shift method; sufficient for p &lt; 0.01 threshold</w:t>
            </w:r>
          </w:p>
        </w:tc>
      </w:tr>
    </w:tbl>
    <w:p>
      <w:pPr>
        <w:spacing w:after="120" w:before="0"/>
        <w:jc w:val="both"/>
      </w:pPr>
      <w:r>
        <w:rPr>
          <w:rFonts w:ascii="Times New Roman" w:hAnsi="Times New Roman"/>
          <w:b/>
          <w:color w:val="FF0000"/>
          <w:sz w:val="18"/>
        </w:rPr>
        <w:t>Table 1.</w:t>
      </w:r>
      <w:r>
        <w:rPr>
          <w:rFonts w:ascii="Times New Roman" w:hAnsi="Times New Roman"/>
          <w:color w:val="FF0000"/>
          <w:sz w:val="18"/>
        </w:rPr>
        <w:t xml:space="preserve"> Summary of model and analysis parameters with justifications.</w:t>
      </w:r>
    </w:p>
    <w:p>
      <w:pPr>
        <w:spacing w:before="240" w:after="120"/>
        <w:jc w:val="left"/>
      </w:pPr>
      <w:r>
        <w:rPr>
          <w:rFonts w:ascii="Times New Roman" w:hAnsi="Times New Roman"/>
          <w:b/>
          <w:color w:val="FF0000"/>
          <w:sz w:val="24"/>
        </w:rPr>
        <w:t>Information-theoretic measures</w:t>
      </w:r>
    </w:p>
    <w:p>
      <w:pPr>
        <w:spacing w:after="120" w:before="0"/>
        <w:jc w:val="both"/>
      </w:pPr>
      <w:r>
        <w:rPr>
          <w:rFonts w:ascii="Times New Roman" w:hAnsi="Times New Roman"/>
          <w:sz w:val="20"/>
        </w:rPr>
        <w:t xml:space="preserve">To assess whether shared modulation produces directional relationships between macro- and micro-level dynamics, we computed the transfer entropy (TE) in both directions: top-down (from </w:t>
      </w:r>
      <w:r>
        <w:rPr>
          <w:rFonts w:ascii="Times New Roman" w:hAnsi="Times New Roman"/>
          <w:color w:val="FF0000"/>
          <w:sz w:val="20"/>
        </w:rPr>
        <w:t>mean field</w:t>
      </w:r>
      <w:r>
        <w:rPr>
          <w:rFonts w:ascii="Times New Roman" w:hAnsi="Times New Roman"/>
          <w:sz w:val="20"/>
        </w:rPr>
        <w:t xml:space="preserve"> to representative unit, </w:t>
      </w:r>
      <w:r>
        <w:rPr>
          <w:rFonts w:ascii="Times New Roman" w:hAnsi="Times New Roman"/>
          <w:i/>
          <w:sz w:val="20"/>
        </w:rPr>
        <w:t>M</w:t>
      </w:r>
      <w:r>
        <w:rPr>
          <w:rFonts w:ascii="Times New Roman" w:hAnsi="Times New Roman"/>
          <w:sz w:val="20"/>
        </w:rPr>
        <w:t xml:space="preserve"> → </w:t>
      </w:r>
      <w:r>
        <w:rPr>
          <w:rFonts w:ascii="Times New Roman" w:hAnsi="Times New Roman"/>
          <w:i/>
          <w:sz w:val="20"/>
        </w:rPr>
        <w:t>x</w:t>
      </w:r>
      <w:r>
        <w:rPr>
          <w:rFonts w:ascii="Times New Roman" w:hAnsi="Times New Roman"/>
          <w:sz w:val="20"/>
        </w:rPr>
        <w:t xml:space="preserve">) and bottom-up (from representative unit to </w:t>
      </w:r>
      <w:r>
        <w:rPr>
          <w:rFonts w:ascii="Times New Roman" w:hAnsi="Times New Roman"/>
          <w:color w:val="FF0000"/>
          <w:sz w:val="20"/>
        </w:rPr>
        <w:t>mean field</w:t>
      </w:r>
      <w:r>
        <w:rPr>
          <w:rFonts w:ascii="Times New Roman" w:hAnsi="Times New Roman"/>
          <w:sz w:val="20"/>
        </w:rPr>
        <w:t xml:space="preserve">, </w:t>
      </w:r>
      <w:r>
        <w:rPr>
          <w:rFonts w:ascii="Times New Roman" w:hAnsi="Times New Roman"/>
          <w:i/>
          <w:sz w:val="20"/>
        </w:rPr>
        <w:t>x</w:t>
      </w:r>
      <w:r>
        <w:rPr>
          <w:rFonts w:ascii="Times New Roman" w:hAnsi="Times New Roman"/>
          <w:sz w:val="20"/>
        </w:rPr>
        <w:t xml:space="preserve"> → </w:t>
      </w:r>
      <w:r>
        <w:rPr>
          <w:rFonts w:ascii="Times New Roman" w:hAnsi="Times New Roman"/>
          <w:i/>
          <w:sz w:val="20"/>
        </w:rPr>
        <w:t>M</w:t>
      </w:r>
      <w:r>
        <w:rPr>
          <w:rFonts w:ascii="Times New Roman" w:hAnsi="Times New Roman"/>
          <w:sz w:val="20"/>
        </w:rPr>
        <w:t>). Formally:</w:t>
      </w:r>
    </w:p>
    <w:p>
      <w:pPr>
        <w:spacing w:after="120" w:before="120"/>
        <w:jc w:val="center"/>
      </w:pPr>
      <w:r>
        <w:rPr>
          <w:rFonts w:ascii="Times New Roman" w:hAnsi="Times New Roman"/>
          <w:i/>
          <w:sz w:val="20"/>
        </w:rPr>
        <w:t>T</w:t>
      </w:r>
      <w:r>
        <w:rPr>
          <w:rFonts w:ascii="Times New Roman" w:hAnsi="Times New Roman"/>
          <w:sz w:val="20"/>
          <w:vertAlign w:val="subscript"/>
        </w:rPr>
        <w:t>Y→X</w:t>
      </w:r>
      <w:r>
        <w:rPr>
          <w:rFonts w:ascii="Times New Roman" w:hAnsi="Times New Roman"/>
          <w:sz w:val="20"/>
        </w:rPr>
        <w:t xml:space="preserve"> = ∑ </w:t>
      </w:r>
      <w:r>
        <w:rPr>
          <w:rFonts w:ascii="Times New Roman" w:hAnsi="Times New Roman"/>
          <w:i/>
          <w:sz w:val="20"/>
        </w:rPr>
        <w:t>p</w:t>
      </w:r>
      <w:r>
        <w:rPr>
          <w:rFonts w:ascii="Times New Roman" w:hAnsi="Times New Roman"/>
          <w:sz w:val="20"/>
        </w:rPr>
        <w:t>(</w:t>
      </w:r>
      <w:r>
        <w:rPr>
          <w:rFonts w:ascii="Times New Roman" w:hAnsi="Times New Roman"/>
          <w:i/>
          <w:sz w:val="20"/>
        </w:rPr>
        <w:t>x</w:t>
      </w:r>
      <w:r>
        <w:rPr>
          <w:rFonts w:ascii="Times New Roman" w:hAnsi="Times New Roman"/>
          <w:sz w:val="20"/>
          <w:vertAlign w:val="subscript"/>
        </w:rPr>
        <w:t>n+1</w:t>
      </w:r>
      <w:r>
        <w:rPr>
          <w:rFonts w:ascii="Times New Roman" w:hAnsi="Times New Roman"/>
          <w:sz w:val="20"/>
        </w:rPr>
        <w:t xml:space="preserve">, </w:t>
      </w:r>
      <w:r>
        <w:rPr>
          <w:rFonts w:ascii="Times New Roman" w:hAnsi="Times New Roman"/>
          <w:i/>
          <w:sz w:val="20"/>
        </w:rPr>
        <w:t>x</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xml:space="preserve">, </w:t>
      </w:r>
      <w:r>
        <w:rPr>
          <w:rFonts w:ascii="Times New Roman" w:hAnsi="Times New Roman"/>
          <w:i/>
          <w:sz w:val="20"/>
        </w:rPr>
        <w:t>y</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log</w:t>
      </w:r>
      <w:r>
        <w:rPr>
          <w:rFonts w:ascii="Times New Roman" w:hAnsi="Times New Roman"/>
          <w:sz w:val="20"/>
          <w:vertAlign w:val="subscript"/>
        </w:rPr>
        <w:t>2</w:t>
      </w:r>
      <w:r>
        <w:rPr>
          <w:rFonts w:ascii="Times New Roman" w:hAnsi="Times New Roman"/>
          <w:sz w:val="20"/>
        </w:rPr>
        <w:t xml:space="preserve"> [ </w:t>
      </w:r>
      <w:r>
        <w:rPr>
          <w:rFonts w:ascii="Times New Roman" w:hAnsi="Times New Roman"/>
          <w:i/>
          <w:sz w:val="20"/>
        </w:rPr>
        <w:t>p</w:t>
      </w:r>
      <w:r>
        <w:rPr>
          <w:rFonts w:ascii="Times New Roman" w:hAnsi="Times New Roman"/>
          <w:sz w:val="20"/>
        </w:rPr>
        <w:t>(</w:t>
      </w:r>
      <w:r>
        <w:rPr>
          <w:rFonts w:ascii="Times New Roman" w:hAnsi="Times New Roman"/>
          <w:i/>
          <w:sz w:val="20"/>
        </w:rPr>
        <w:t>x</w:t>
      </w:r>
      <w:r>
        <w:rPr>
          <w:rFonts w:ascii="Times New Roman" w:hAnsi="Times New Roman"/>
          <w:sz w:val="20"/>
          <w:vertAlign w:val="subscript"/>
        </w:rPr>
        <w:t>n+1</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xml:space="preserve">, </w:t>
      </w:r>
      <w:r>
        <w:rPr>
          <w:rFonts w:ascii="Times New Roman" w:hAnsi="Times New Roman"/>
          <w:i/>
          <w:sz w:val="20"/>
        </w:rPr>
        <w:t>y</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xml:space="preserve">) / </w:t>
      </w:r>
      <w:r>
        <w:rPr>
          <w:rFonts w:ascii="Times New Roman" w:hAnsi="Times New Roman"/>
          <w:i/>
          <w:sz w:val="20"/>
        </w:rPr>
        <w:t>p</w:t>
      </w:r>
      <w:r>
        <w:rPr>
          <w:rFonts w:ascii="Times New Roman" w:hAnsi="Times New Roman"/>
          <w:sz w:val="20"/>
        </w:rPr>
        <w:t>(</w:t>
      </w:r>
      <w:r>
        <w:rPr>
          <w:rFonts w:ascii="Times New Roman" w:hAnsi="Times New Roman"/>
          <w:i/>
          <w:sz w:val="20"/>
        </w:rPr>
        <w:t>x</w:t>
      </w:r>
      <w:r>
        <w:rPr>
          <w:rFonts w:ascii="Times New Roman" w:hAnsi="Times New Roman"/>
          <w:sz w:val="20"/>
          <w:vertAlign w:val="subscript"/>
        </w:rPr>
        <w:t>n+1</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w:t>
      </w:r>
    </w:p>
    <w:p>
      <w:pPr>
        <w:spacing w:after="120" w:before="0"/>
        <w:jc w:val="both"/>
      </w:pPr>
      <w:r>
        <w:rPr>
          <w:rFonts w:ascii="Times New Roman" w:hAnsi="Times New Roman"/>
          <w:sz w:val="20"/>
        </w:rPr>
        <w:t xml:space="preserve">where </w:t>
      </w:r>
      <w:r>
        <w:rPr>
          <w:rFonts w:ascii="Times New Roman" w:hAnsi="Times New Roman"/>
          <w:i/>
          <w:sz w:val="20"/>
        </w:rPr>
        <w:t>x</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xml:space="preserve"> and </w:t>
      </w:r>
      <w:r>
        <w:rPr>
          <w:rFonts w:ascii="Times New Roman" w:hAnsi="Times New Roman"/>
          <w:i/>
          <w:sz w:val="20"/>
        </w:rPr>
        <w:t>y</w:t>
      </w:r>
      <w:r>
        <w:rPr>
          <w:rFonts w:ascii="Times New Roman" w:hAnsi="Times New Roman"/>
          <w:sz w:val="20"/>
          <w:vertAlign w:val="subscript"/>
        </w:rPr>
        <w:t>n</w:t>
      </w:r>
      <w:r>
        <w:rPr>
          <w:rFonts w:ascii="Times New Roman" w:hAnsi="Times New Roman"/>
          <w:sz w:val="20"/>
          <w:vertAlign w:val="superscript"/>
        </w:rPr>
        <w:t>(k)</w:t>
      </w:r>
      <w:r>
        <w:rPr>
          <w:rFonts w:ascii="Times New Roman" w:hAnsi="Times New Roman"/>
          <w:sz w:val="20"/>
        </w:rPr>
        <w:t xml:space="preserve"> are the histories of length </w:t>
      </w:r>
      <w:r>
        <w:rPr>
          <w:rFonts w:ascii="Times New Roman" w:hAnsi="Times New Roman"/>
          <w:i/>
          <w:sz w:val="20"/>
        </w:rPr>
        <w:t>k</w:t>
      </w:r>
      <w:r>
        <w:rPr>
          <w:rFonts w:ascii="Times New Roman" w:hAnsi="Times New Roman"/>
          <w:sz w:val="20"/>
        </w:rPr>
        <w:t xml:space="preserve"> for the target and source variables, respectively.</w:t>
      </w:r>
    </w:p>
    <w:p>
      <w:pPr>
        <w:spacing w:after="120" w:before="0"/>
        <w:jc w:val="both"/>
      </w:pPr>
      <w:r>
        <w:rPr>
          <w:rFonts w:ascii="Times New Roman" w:hAnsi="Times New Roman"/>
          <w:color w:val="FF0000"/>
          <w:sz w:val="20"/>
        </w:rPr>
        <w:t>To disentangle environmental forcing from genuine mean-field-driven information flow, we also computed the conditional transfer entropy (CTE), conditioning on the environmental signal K</w:t>
      </w:r>
      <w:r>
        <w:rPr>
          <w:rFonts w:ascii="Times New Roman" w:hAnsi="Times New Roman"/>
          <w:color w:val="FF0000"/>
          <w:sz w:val="20"/>
          <w:vertAlign w:val="subscript"/>
        </w:rPr>
        <w:t>n</w:t>
      </w:r>
      <w:r>
        <w:rPr>
          <w:rFonts w:ascii="Times New Roman" w:hAnsi="Times New Roman"/>
          <w:color w:val="FF0000"/>
          <w:sz w:val="20"/>
        </w:rPr>
        <w:t>:</w:t>
      </w:r>
    </w:p>
    <w:p>
      <w:pPr>
        <w:spacing w:after="120" w:before="120"/>
        <w:jc w:val="center"/>
      </w:pPr>
      <w:r>
        <w:rPr>
          <w:rFonts w:ascii="Times New Roman" w:hAnsi="Times New Roman"/>
          <w:color w:val="FF0000"/>
          <w:sz w:val="20"/>
        </w:rPr>
        <w:t>CTE</w:t>
      </w:r>
      <w:r>
        <w:rPr>
          <w:rFonts w:ascii="Times New Roman" w:hAnsi="Times New Roman"/>
          <w:color w:val="FF0000"/>
          <w:sz w:val="20"/>
          <w:vertAlign w:val="subscript"/>
        </w:rPr>
        <w:t>Y→X|Z</w:t>
      </w:r>
      <w:r>
        <w:rPr>
          <w:rFonts w:ascii="Times New Roman" w:hAnsi="Times New Roman"/>
          <w:color w:val="FF0000"/>
          <w:sz w:val="20"/>
        </w:rPr>
        <w:t xml:space="preserve"> = ∑ p(x</w:t>
      </w:r>
      <w:r>
        <w:rPr>
          <w:rFonts w:ascii="Times New Roman" w:hAnsi="Times New Roman"/>
          <w:color w:val="FF0000"/>
          <w:sz w:val="20"/>
          <w:vertAlign w:val="subscript"/>
        </w:rPr>
        <w:t>n+1</w:t>
      </w:r>
      <w:r>
        <w:rPr>
          <w:rFonts w:ascii="Times New Roman" w:hAnsi="Times New Roman"/>
          <w:color w:val="FF0000"/>
          <w:sz w:val="20"/>
        </w:rPr>
        <w:t>, x</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y</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z</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log</w:t>
      </w:r>
      <w:r>
        <w:rPr>
          <w:rFonts w:ascii="Times New Roman" w:hAnsi="Times New Roman"/>
          <w:color w:val="FF0000"/>
          <w:sz w:val="20"/>
          <w:vertAlign w:val="subscript"/>
        </w:rPr>
        <w:t>2</w:t>
      </w:r>
      <w:r>
        <w:rPr>
          <w:rFonts w:ascii="Times New Roman" w:hAnsi="Times New Roman"/>
          <w:color w:val="FF0000"/>
          <w:sz w:val="20"/>
        </w:rPr>
        <w:t xml:space="preserve"> [ p(x</w:t>
      </w:r>
      <w:r>
        <w:rPr>
          <w:rFonts w:ascii="Times New Roman" w:hAnsi="Times New Roman"/>
          <w:color w:val="FF0000"/>
          <w:sz w:val="20"/>
          <w:vertAlign w:val="subscript"/>
        </w:rPr>
        <w:t>n+1</w:t>
      </w:r>
      <w:r>
        <w:rPr>
          <w:rFonts w:ascii="Times New Roman" w:hAnsi="Times New Roman"/>
          <w:color w:val="FF0000"/>
          <w:sz w:val="20"/>
        </w:rPr>
        <w:t xml:space="preserve"> | x</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y</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z</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 p(x</w:t>
      </w:r>
      <w:r>
        <w:rPr>
          <w:rFonts w:ascii="Times New Roman" w:hAnsi="Times New Roman"/>
          <w:color w:val="FF0000"/>
          <w:sz w:val="20"/>
          <w:vertAlign w:val="subscript"/>
        </w:rPr>
        <w:t>n+1</w:t>
      </w:r>
      <w:r>
        <w:rPr>
          <w:rFonts w:ascii="Times New Roman" w:hAnsi="Times New Roman"/>
          <w:color w:val="FF0000"/>
          <w:sz w:val="20"/>
        </w:rPr>
        <w:t xml:space="preserve"> | x</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z</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w:t>
      </w:r>
    </w:p>
    <w:p>
      <w:pPr>
        <w:spacing w:after="120" w:before="0"/>
        <w:jc w:val="both"/>
      </w:pPr>
      <w:r>
        <w:rPr>
          <w:rFonts w:ascii="Times New Roman" w:hAnsi="Times New Roman"/>
          <w:color w:val="FF0000"/>
          <w:sz w:val="20"/>
        </w:rPr>
        <w:t>where z</w:t>
      </w:r>
      <w:r>
        <w:rPr>
          <w:rFonts w:ascii="Times New Roman" w:hAnsi="Times New Roman"/>
          <w:color w:val="FF0000"/>
          <w:sz w:val="20"/>
          <w:vertAlign w:val="subscript"/>
        </w:rPr>
        <w:t>n</w:t>
      </w:r>
      <w:r>
        <w:rPr>
          <w:rFonts w:ascii="Times New Roman" w:hAnsi="Times New Roman"/>
          <w:color w:val="FF0000"/>
          <w:sz w:val="20"/>
          <w:vertAlign w:val="superscript"/>
        </w:rPr>
        <w:t>(k)</w:t>
      </w:r>
      <w:r>
        <w:rPr>
          <w:rFonts w:ascii="Times New Roman" w:hAnsi="Times New Roman"/>
          <w:color w:val="FF0000"/>
          <w:sz w:val="20"/>
        </w:rPr>
        <w:t xml:space="preserve"> is the history of the conditioning variable K</w:t>
      </w:r>
      <w:r>
        <w:rPr>
          <w:rFonts w:ascii="Times New Roman" w:hAnsi="Times New Roman"/>
          <w:color w:val="FF0000"/>
          <w:sz w:val="20"/>
          <w:vertAlign w:val="subscript"/>
        </w:rPr>
        <w:t>n</w:t>
      </w:r>
      <w:r>
        <w:rPr>
          <w:rFonts w:ascii="Times New Roman" w:hAnsi="Times New Roman"/>
          <w:color w:val="FF0000"/>
          <w:sz w:val="20"/>
        </w:rPr>
        <w:t>. CTE measures the information that the source provides about the target beyond what is already explained by both the target's own past and the conditioning variable's past. If the TE asymmetry is entirely due to the common environmental driver, CTE should be approximately zero in both directions.</w:t>
      </w:r>
    </w:p>
    <w:p>
      <w:pPr>
        <w:spacing w:after="120" w:before="0"/>
        <w:jc w:val="both"/>
      </w:pPr>
      <w:r>
        <w:rPr>
          <w:rFonts w:ascii="Times New Roman" w:hAnsi="Times New Roman"/>
          <w:color w:val="FF0000"/>
          <w:sz w:val="20"/>
        </w:rPr>
        <w:t>We also quantified the statistical alignment between the mean field M</w:t>
      </w:r>
      <w:r>
        <w:rPr>
          <w:rFonts w:ascii="Times New Roman" w:hAnsi="Times New Roman"/>
          <w:color w:val="FF0000"/>
          <w:sz w:val="20"/>
          <w:vertAlign w:val="subscript"/>
        </w:rPr>
        <w:t>n</w:t>
      </w:r>
      <w:r>
        <w:rPr>
          <w:rFonts w:ascii="Times New Roman" w:hAnsi="Times New Roman"/>
          <w:color w:val="FF0000"/>
          <w:sz w:val="20"/>
        </w:rPr>
        <w:t xml:space="preserve"> and a representative unit x</w:t>
      </w:r>
      <w:r>
        <w:rPr>
          <w:rFonts w:ascii="Times New Roman" w:hAnsi="Times New Roman"/>
          <w:color w:val="FF0000"/>
          <w:sz w:val="20"/>
          <w:vertAlign w:val="subscript"/>
        </w:rPr>
        <w:t>1,n</w:t>
      </w:r>
      <w:r>
        <w:rPr>
          <w:rFonts w:ascii="Times New Roman" w:hAnsi="Times New Roman"/>
          <w:color w:val="FF0000"/>
          <w:sz w:val="20"/>
        </w:rPr>
        <w:t xml:space="preserve"> using two regression-based metrics: the coefficient of determination R² = 1 − SS</w:t>
      </w:r>
      <w:r>
        <w:rPr>
          <w:rFonts w:ascii="Times New Roman" w:hAnsi="Times New Roman"/>
          <w:color w:val="FF0000"/>
          <w:sz w:val="20"/>
          <w:vertAlign w:val="subscript"/>
        </w:rPr>
        <w:t>res</w:t>
      </w:r>
      <w:r>
        <w:rPr>
          <w:rFonts w:ascii="Times New Roman" w:hAnsi="Times New Roman"/>
          <w:color w:val="FF0000"/>
          <w:sz w:val="20"/>
        </w:rPr>
        <w:t>/SS</w:t>
      </w:r>
      <w:r>
        <w:rPr>
          <w:rFonts w:ascii="Times New Roman" w:hAnsi="Times New Roman"/>
          <w:color w:val="FF0000"/>
          <w:sz w:val="20"/>
          <w:vertAlign w:val="subscript"/>
        </w:rPr>
        <w:t>tot</w:t>
      </w:r>
      <w:r>
        <w:rPr>
          <w:rFonts w:ascii="Times New Roman" w:hAnsi="Times New Roman"/>
          <w:color w:val="FF0000"/>
          <w:sz w:val="20"/>
        </w:rPr>
        <w:t xml:space="preserve"> and the signal-to-noise ratio SNR = Var(M</w:t>
      </w:r>
      <w:r>
        <w:rPr>
          <w:rFonts w:ascii="Times New Roman" w:hAnsi="Times New Roman"/>
          <w:color w:val="FF0000"/>
          <w:sz w:val="20"/>
          <w:vertAlign w:val="subscript"/>
        </w:rPr>
        <w:t>n</w:t>
      </w:r>
      <w:r>
        <w:rPr>
          <w:rFonts w:ascii="Times New Roman" w:hAnsi="Times New Roman"/>
          <w:color w:val="FF0000"/>
          <w:sz w:val="20"/>
        </w:rPr>
        <w:t>) / Var(ε), where ε denotes the residuals from the linear regression of x</w:t>
      </w:r>
      <w:r>
        <w:rPr>
          <w:rFonts w:ascii="Times New Roman" w:hAnsi="Times New Roman"/>
          <w:color w:val="FF0000"/>
          <w:sz w:val="20"/>
          <w:vertAlign w:val="subscript"/>
        </w:rPr>
        <w:t>1,n</w:t>
      </w:r>
      <w:r>
        <w:rPr>
          <w:rFonts w:ascii="Times New Roman" w:hAnsi="Times New Roman"/>
          <w:color w:val="FF0000"/>
          <w:sz w:val="20"/>
        </w:rPr>
        <w:t xml:space="preserve"> on M</w:t>
      </w:r>
      <w:r>
        <w:rPr>
          <w:rFonts w:ascii="Times New Roman" w:hAnsi="Times New Roman"/>
          <w:color w:val="FF0000"/>
          <w:sz w:val="20"/>
          <w:vertAlign w:val="subscript"/>
        </w:rPr>
        <w:t>n</w:t>
      </w:r>
      <w:r>
        <w:rPr>
          <w:rFonts w:ascii="Times New Roman" w:hAnsi="Times New Roman"/>
          <w:color w:val="FF0000"/>
          <w:sz w:val="20"/>
        </w:rPr>
        <w:t>.</w:t>
      </w:r>
    </w:p>
    <w:p>
      <w:r>
        <w:br w:type="page"/>
      </w:r>
    </w:p>
    <w:p>
      <w:pPr>
        <w:spacing w:before="360" w:after="160"/>
        <w:jc w:val="left"/>
      </w:pPr>
      <w:r>
        <w:rPr>
          <w:rFonts w:ascii="Times New Roman" w:hAnsi="Times New Roman"/>
          <w:b/>
          <w:color w:val="FF0000"/>
          <w:sz w:val="28"/>
        </w:rPr>
        <w:t>Methods</w:t>
      </w:r>
    </w:p>
    <w:p>
      <w:pPr>
        <w:spacing w:after="120" w:before="0"/>
        <w:jc w:val="both"/>
      </w:pPr>
      <w:r>
        <w:rPr>
          <w:rFonts w:ascii="Times New Roman" w:hAnsi="Times New Roman"/>
          <w:color w:val="FF0000"/>
          <w:sz w:val="20"/>
        </w:rPr>
        <w:t>All information-theoretic quantities (TE and CTE) were estimated using a histogram-based (plug-in) method. Each time series was discretized into 15 equally spaced bins, with bin edges determined from the pooled range of the past and future target values. The embedding lag was set to k = 2 to reduce near-synchronous correlations that can inflate TE at k = 1; Supplementary Figure S1 shows the sensitivity to this choice. Results were averaged over 10 independent random seeds, each drawing growth rates r</w:t>
      </w:r>
      <w:r>
        <w:rPr>
          <w:rFonts w:ascii="Times New Roman" w:hAnsi="Times New Roman"/>
          <w:color w:val="FF0000"/>
          <w:sz w:val="20"/>
          <w:vertAlign w:val="subscript"/>
        </w:rPr>
        <w:t>i</w:t>
      </w:r>
      <w:r>
        <w:rPr>
          <w:rFonts w:ascii="Times New Roman" w:hAnsi="Times New Roman"/>
          <w:color w:val="FF0000"/>
          <w:sz w:val="20"/>
        </w:rPr>
        <w:t xml:space="preserve"> ~ Uniform[3.9, 4.0]. Confidence intervals (95%) were computed via the Student’s t-distribution.</w:t>
      </w:r>
    </w:p>
    <w:p>
      <w:pPr>
        <w:spacing w:after="120" w:before="0"/>
        <w:jc w:val="both"/>
      </w:pPr>
      <w:r>
        <w:rPr>
          <w:rFonts w:ascii="Times New Roman" w:hAnsi="Times New Roman"/>
          <w:color w:val="FF0000"/>
          <w:sz w:val="20"/>
        </w:rPr>
        <w:t>Statistical significance of inter-unit TE was assessed using a circular-shift surrogate method (16): the source series was shifted by a random offset (minimum 10 steps) to preserve autocorrelation while destroying temporal alignment. For each pair, 100 surrogates were generated, and significance was assessed at the p &lt; 0.01 level.</w:t>
      </w:r>
    </w:p>
    <w:p>
      <w:r>
        <w:br w:type="page"/>
      </w:r>
    </w:p>
    <w:p>
      <w:pPr>
        <w:spacing w:before="360" w:after="160"/>
        <w:jc w:val="left"/>
      </w:pPr>
      <w:r>
        <w:rPr>
          <w:rFonts w:ascii="Times New Roman" w:hAnsi="Times New Roman"/>
          <w:b/>
          <w:sz w:val="28"/>
        </w:rPr>
        <w:t>Results</w:t>
      </w:r>
    </w:p>
    <w:p>
      <w:pPr>
        <w:spacing w:before="240" w:after="120"/>
        <w:jc w:val="left"/>
      </w:pPr>
      <w:r>
        <w:rPr>
          <w:rFonts w:ascii="Times New Roman" w:hAnsi="Times New Roman"/>
          <w:b/>
          <w:color w:val="FF0000"/>
          <w:sz w:val="24"/>
        </w:rPr>
        <w:t>Unconditional transfer entropy reveals macro-to-micro asymmetry</w:t>
      </w:r>
    </w:p>
    <w:p>
      <w:pPr>
        <w:spacing w:after="120" w:before="0"/>
        <w:jc w:val="both"/>
      </w:pPr>
      <w:r>
        <w:rPr>
          <w:rFonts w:ascii="Times New Roman" w:hAnsi="Times New Roman"/>
          <w:sz w:val="20"/>
        </w:rPr>
        <w:t xml:space="preserve">The time-varying </w:t>
      </w:r>
      <w:r>
        <w:rPr>
          <w:rFonts w:ascii="Times New Roman" w:hAnsi="Times New Roman"/>
          <w:i/>
          <w:sz w:val="20"/>
        </w:rPr>
        <w:t>K</w:t>
      </w:r>
      <w:r>
        <w:rPr>
          <w:rFonts w:ascii="Times New Roman" w:hAnsi="Times New Roman"/>
          <w:sz w:val="20"/>
          <w:vertAlign w:val="subscript"/>
        </w:rPr>
        <w:t>n</w:t>
      </w:r>
      <w:r>
        <w:rPr>
          <w:rFonts w:ascii="Times New Roman" w:hAnsi="Times New Roman"/>
          <w:sz w:val="20"/>
        </w:rPr>
        <w:t xml:space="preserve"> imposes a common oscillatory envelope on all trajectories </w:t>
      </w:r>
      <w:r>
        <w:rPr>
          <w:rFonts w:ascii="Times New Roman" w:hAnsi="Times New Roman"/>
          <w:i/>
          <w:sz w:val="20"/>
        </w:rPr>
        <w:t>x</w:t>
      </w:r>
      <w:r>
        <w:rPr>
          <w:rFonts w:ascii="Times New Roman" w:hAnsi="Times New Roman"/>
          <w:sz w:val="20"/>
        </w:rPr>
        <w:t xml:space="preserve">, introducing a coherent pattern that shapes the </w:t>
      </w:r>
      <w:r>
        <w:rPr>
          <w:rFonts w:ascii="Times New Roman" w:hAnsi="Times New Roman"/>
          <w:color w:val="FF0000"/>
          <w:sz w:val="20"/>
        </w:rPr>
        <w:t>mean field</w:t>
      </w:r>
      <w:r>
        <w:rPr>
          <w:rFonts w:ascii="Times New Roman" w:hAnsi="Times New Roman"/>
          <w:sz w:val="20"/>
        </w:rPr>
        <w:t xml:space="preserve"> </w:t>
      </w:r>
      <w:r>
        <w:rPr>
          <w:rFonts w:ascii="Times New Roman" w:hAnsi="Times New Roman"/>
          <w:i/>
          <w:sz w:val="20"/>
        </w:rPr>
        <w:t>M</w:t>
      </w:r>
      <w:r>
        <w:rPr>
          <w:rFonts w:ascii="Times New Roman" w:hAnsi="Times New Roman"/>
          <w:sz w:val="20"/>
        </w:rPr>
        <w:t xml:space="preserve"> (Figure 1A).</w:t>
      </w:r>
    </w:p>
    <w:p>
      <w:pPr>
        <w:spacing w:after="120" w:before="0"/>
        <w:jc w:val="both"/>
      </w:pPr>
      <w:r>
        <w:rPr>
          <w:rFonts w:ascii="Times New Roman" w:hAnsi="Times New Roman"/>
          <w:sz w:val="20"/>
        </w:rPr>
        <w:t>TE analysis revealed clear directional asymmetry (Figure 1B). Without modulation (</w:t>
      </w:r>
      <w:r>
        <w:rPr>
          <w:rFonts w:ascii="Times New Roman" w:hAnsi="Times New Roman"/>
          <w:i/>
          <w:sz w:val="20"/>
        </w:rPr>
        <w:t>A</w:t>
      </w:r>
      <w:r>
        <w:rPr>
          <w:rFonts w:ascii="Times New Roman" w:hAnsi="Times New Roman"/>
          <w:sz w:val="20"/>
        </w:rPr>
        <w:t xml:space="preserve"> ≈ 0), TE is negligible in both directions, which is consistent with unstructured dynamics. As </w:t>
      </w:r>
      <w:r>
        <w:rPr>
          <w:rFonts w:ascii="Times New Roman" w:hAnsi="Times New Roman"/>
          <w:i/>
          <w:sz w:val="20"/>
        </w:rPr>
        <w:t>A</w:t>
      </w:r>
      <w:r>
        <w:rPr>
          <w:rFonts w:ascii="Times New Roman" w:hAnsi="Times New Roman"/>
          <w:sz w:val="20"/>
        </w:rPr>
        <w:t xml:space="preserve"> increases, the TE from the </w:t>
      </w:r>
      <w:r>
        <w:rPr>
          <w:rFonts w:ascii="Times New Roman" w:hAnsi="Times New Roman"/>
          <w:color w:val="FF0000"/>
          <w:sz w:val="20"/>
        </w:rPr>
        <w:t>mean field</w:t>
      </w:r>
      <w:r>
        <w:rPr>
          <w:rFonts w:ascii="Times New Roman" w:hAnsi="Times New Roman"/>
          <w:sz w:val="20"/>
        </w:rPr>
        <w:t xml:space="preserve"> to the individuals (</w:t>
      </w:r>
      <w:r>
        <w:rPr>
          <w:rFonts w:ascii="Times New Roman" w:hAnsi="Times New Roman"/>
          <w:i/>
          <w:sz w:val="20"/>
        </w:rPr>
        <w:t>M</w:t>
      </w:r>
      <w:r>
        <w:rPr>
          <w:rFonts w:ascii="Times New Roman" w:hAnsi="Times New Roman"/>
          <w:sz w:val="20"/>
        </w:rPr>
        <w:t xml:space="preserve"> → </w:t>
      </w:r>
      <w:r>
        <w:rPr>
          <w:rFonts w:ascii="Times New Roman" w:hAnsi="Times New Roman"/>
          <w:i/>
          <w:sz w:val="20"/>
        </w:rPr>
        <w:t>x</w:t>
      </w:r>
      <w:r>
        <w:rPr>
          <w:rFonts w:ascii="Times New Roman" w:hAnsi="Times New Roman"/>
          <w:sz w:val="20"/>
        </w:rPr>
        <w:t>) increases steadily, whereas the reverse (</w:t>
      </w:r>
      <w:r>
        <w:rPr>
          <w:rFonts w:ascii="Times New Roman" w:hAnsi="Times New Roman"/>
          <w:i/>
          <w:sz w:val="20"/>
        </w:rPr>
        <w:t>x</w:t>
      </w:r>
      <w:r>
        <w:rPr>
          <w:rFonts w:ascii="Times New Roman" w:hAnsi="Times New Roman"/>
          <w:sz w:val="20"/>
        </w:rPr>
        <w:t xml:space="preserve"> → </w:t>
      </w:r>
      <w:r>
        <w:rPr>
          <w:rFonts w:ascii="Times New Roman" w:hAnsi="Times New Roman"/>
          <w:i/>
          <w:sz w:val="20"/>
        </w:rPr>
        <w:t>M</w:t>
      </w:r>
      <w:r>
        <w:rPr>
          <w:rFonts w:ascii="Times New Roman" w:hAnsi="Times New Roman"/>
          <w:sz w:val="20"/>
        </w:rPr>
        <w:t xml:space="preserve">) remains negligible. This indicates that shared modulation generates top-down informational influences without reciprocal predictability. </w:t>
      </w:r>
      <w:r>
        <w:rPr>
          <w:rFonts w:ascii="Times New Roman" w:hAnsi="Times New Roman"/>
          <w:color w:val="FF0000"/>
          <w:sz w:val="20"/>
        </w:rPr>
        <w:t>Intuitively, the mean field is a low-dimensional projection that retains only the shared environmental signal, whereas each unit carries both that signal and idiosyncratic noise from its intrinsic growth rate. As the signal fraction grows with A, the predictive information flowing from M to x increases while the reverse direction remains negligible.</w:t>
      </w:r>
    </w:p>
    <w:p>
      <w:pPr>
        <w:spacing w:after="120" w:before="0"/>
        <w:jc w:val="both"/>
      </w:pPr>
      <w:r>
        <w:rPr>
          <w:rFonts w:ascii="Times New Roman" w:hAnsi="Times New Roman"/>
          <w:color w:val="FF0000"/>
          <w:sz w:val="20"/>
        </w:rPr>
        <w:t>The monotonic increase of TE(M → x) with A reflects the progressive dominance of the shared environmental signal over idiosyncratic chaotic fluctuations. At low A, each unit's trajectory is dominated by its intrinsic chaotic dynamics (governed by r</w:t>
      </w:r>
      <w:r>
        <w:rPr>
          <w:rFonts w:ascii="Times New Roman" w:hAnsi="Times New Roman"/>
          <w:color w:val="FF0000"/>
          <w:sz w:val="20"/>
          <w:vertAlign w:val="subscript"/>
        </w:rPr>
        <w:t>i</w:t>
      </w:r>
      <w:r>
        <w:rPr>
          <w:rFonts w:ascii="Times New Roman" w:hAnsi="Times New Roman"/>
          <w:color w:val="FF0000"/>
          <w:sz w:val="20"/>
        </w:rPr>
        <w:t>), and the mean field contains little predictive information about any single unit. As A increases, the common modulation of K</w:t>
      </w:r>
      <w:r>
        <w:rPr>
          <w:rFonts w:ascii="Times New Roman" w:hAnsi="Times New Roman"/>
          <w:color w:val="FF0000"/>
          <w:sz w:val="20"/>
          <w:vertAlign w:val="subscript"/>
        </w:rPr>
        <w:t>n</w:t>
      </w:r>
      <w:r>
        <w:rPr>
          <w:rFonts w:ascii="Times New Roman" w:hAnsi="Times New Roman"/>
          <w:color w:val="FF0000"/>
          <w:sz w:val="20"/>
        </w:rPr>
        <w:t xml:space="preserve"> forces all units through a similar range of carrying capacities, aligning their trajectories and making the mean field increasingly informative about individual dynamics. The sharp rise in the confidence interval near A ≈ 50 corresponds to a regime transition related to the ratio A/K</w:t>
      </w:r>
      <w:r>
        <w:rPr>
          <w:rFonts w:ascii="Times New Roman" w:hAnsi="Times New Roman"/>
          <w:color w:val="FF0000"/>
          <w:sz w:val="20"/>
          <w:vertAlign w:val="subscript"/>
        </w:rPr>
        <w:t>0</w:t>
      </w:r>
      <w:r>
        <w:rPr>
          <w:rFonts w:ascii="Times New Roman" w:hAnsi="Times New Roman"/>
          <w:color w:val="FF0000"/>
          <w:sz w:val="20"/>
        </w:rPr>
        <w:t>: when A approaches K</w:t>
      </w:r>
      <w:r>
        <w:rPr>
          <w:rFonts w:ascii="Times New Roman" w:hAnsi="Times New Roman"/>
          <w:color w:val="FF0000"/>
          <w:sz w:val="20"/>
          <w:vertAlign w:val="subscript"/>
        </w:rPr>
        <w:t>0</w:t>
      </w:r>
      <w:r>
        <w:rPr>
          <w:rFonts w:ascii="Times New Roman" w:hAnsi="Times New Roman"/>
          <w:color w:val="FF0000"/>
          <w:sz w:val="20"/>
        </w:rPr>
        <w:t>/2 = 50, the minimum carrying capacity K</w:t>
      </w:r>
      <w:r>
        <w:rPr>
          <w:rFonts w:ascii="Times New Roman" w:hAnsi="Times New Roman"/>
          <w:color w:val="FF0000"/>
          <w:sz w:val="20"/>
          <w:vertAlign w:val="subscript"/>
        </w:rPr>
        <w:t>min</w:t>
      </w:r>
      <w:r>
        <w:rPr>
          <w:rFonts w:ascii="Times New Roman" w:hAnsi="Times New Roman"/>
          <w:color w:val="FF0000"/>
          <w:sz w:val="20"/>
        </w:rPr>
        <w:t xml:space="preserve"> = K</w:t>
      </w:r>
      <w:r>
        <w:rPr>
          <w:rFonts w:ascii="Times New Roman" w:hAnsi="Times New Roman"/>
          <w:color w:val="FF0000"/>
          <w:sz w:val="20"/>
          <w:vertAlign w:val="subscript"/>
        </w:rPr>
        <w:t>0</w:t>
      </w:r>
      <w:r>
        <w:rPr>
          <w:rFonts w:ascii="Times New Roman" w:hAnsi="Times New Roman"/>
          <w:color w:val="FF0000"/>
          <w:sz w:val="20"/>
        </w:rPr>
        <w:t xml:space="preserve"> − A approaches 50, at which point the effective nonlinearity of the logistic equation changes qualitatively. In this regime, some seeds produce populations near the edge of the clipping boundary (0, 2K</w:t>
      </w:r>
      <w:r>
        <w:rPr>
          <w:rFonts w:ascii="Times New Roman" w:hAnsi="Times New Roman"/>
          <w:color w:val="FF0000"/>
          <w:sz w:val="20"/>
          <w:vertAlign w:val="subscript"/>
        </w:rPr>
        <w:t>0</w:t>
      </w:r>
      <w:r>
        <w:rPr>
          <w:rFonts w:ascii="Times New Roman" w:hAnsi="Times New Roman"/>
          <w:color w:val="FF0000"/>
          <w:sz w:val="20"/>
        </w:rPr>
        <w:t>), introducing seed-dependent variability in the TE estimates and widening the confidence interval.</w:t>
      </w:r>
    </w:p>
    <w:p>
      <w:pPr>
        <w:spacing w:after="120" w:before="0"/>
        <w:jc w:val="both"/>
      </w:pPr>
      <w:r>
        <w:rPr>
          <w:rFonts w:ascii="Times New Roman" w:hAnsi="Times New Roman"/>
          <w:color w:val="FF0000"/>
          <w:sz w:val="20"/>
        </w:rPr>
        <w:t>The inset of Figure 1B shows the dependence of TE(M → x) on the modulation frequency ω at fixed A = 25. TE remains high for slow modulation (long periods) and decreases for fast modulation (short periods), consistent with the expectation that very rapid oscillations average out and fail to impose coherent structure on the chaotic dynamics.</w:t>
      </w:r>
    </w:p>
    <w:p>
      <w:pPr>
        <w:jc w:val="center"/>
      </w:pPr>
      <w:r>
        <w:drawing>
          <wp:inline xmlns:a="http://schemas.openxmlformats.org/drawingml/2006/main" xmlns:pic="http://schemas.openxmlformats.org/drawingml/2006/picture">
            <wp:extent cx="2926080" cy="1901952"/>
            <wp:docPr id="1" name="Picture 1"/>
            <wp:cNvGraphicFramePr>
              <a:graphicFrameLocks noChangeAspect="1"/>
            </wp:cNvGraphicFramePr>
            <a:graphic>
              <a:graphicData uri="http://schemas.openxmlformats.org/drawingml/2006/picture">
                <pic:pic>
                  <pic:nvPicPr>
                    <pic:cNvPr id="0" name="fig1a.png"/>
                    <pic:cNvPicPr/>
                  </pic:nvPicPr>
                  <pic:blipFill>
                    <a:blip r:embed="rId9"/>
                    <a:stretch>
                      <a:fillRect/>
                    </a:stretch>
                  </pic:blipFill>
                  <pic:spPr>
                    <a:xfrm>
                      <a:off x="0" y="0"/>
                      <a:ext cx="2926080" cy="1901952"/>
                    </a:xfrm>
                    <a:prstGeom prst="rect"/>
                  </pic:spPr>
                </pic:pic>
              </a:graphicData>
            </a:graphic>
          </wp:inline>
        </w:drawing>
      </w:r>
    </w:p>
    <w:p>
      <w:pPr>
        <w:jc w:val="center"/>
      </w:pPr>
      <w:r>
        <w:drawing>
          <wp:inline xmlns:a="http://schemas.openxmlformats.org/drawingml/2006/main" xmlns:pic="http://schemas.openxmlformats.org/drawingml/2006/picture">
            <wp:extent cx="3108960" cy="2072640"/>
            <wp:docPr id="2" name="Picture 2"/>
            <wp:cNvGraphicFramePr>
              <a:graphicFrameLocks noChangeAspect="1"/>
            </wp:cNvGraphicFramePr>
            <a:graphic>
              <a:graphicData uri="http://schemas.openxmlformats.org/drawingml/2006/picture">
                <pic:pic>
                  <pic:nvPicPr>
                    <pic:cNvPr id="0" name="fig1b.png"/>
                    <pic:cNvPicPr/>
                  </pic:nvPicPr>
                  <pic:blipFill>
                    <a:blip r:embed="rId10"/>
                    <a:stretch>
                      <a:fillRect/>
                    </a:stretch>
                  </pic:blipFill>
                  <pic:spPr>
                    <a:xfrm>
                      <a:off x="0" y="0"/>
                      <a:ext cx="3108960" cy="2072640"/>
                    </a:xfrm>
                    <a:prstGeom prst="rect"/>
                  </pic:spPr>
                </pic:pic>
              </a:graphicData>
            </a:graphic>
          </wp:inline>
        </w:drawing>
      </w:r>
    </w:p>
    <w:p>
      <w:pPr>
        <w:spacing w:after="120" w:before="0"/>
        <w:jc w:val="both"/>
      </w:pPr>
      <w:r>
        <w:rPr>
          <w:rFonts w:ascii="Times New Roman" w:hAnsi="Times New Roman"/>
          <w:b/>
          <w:sz w:val="18"/>
        </w:rPr>
        <w:t xml:space="preserve">Figure 1. Modulation-driven asymmetry and entrainment under sinusoidal forcing. </w:t>
      </w:r>
      <w:r>
        <w:rPr>
          <w:rFonts w:ascii="Times New Roman" w:hAnsi="Times New Roman"/>
          <w:sz w:val="18"/>
        </w:rPr>
        <w:t>(A) Time series of a population of N = 1000 uncoupled logistic units evolving under sinusoidal carrying capacity (K</w:t>
      </w:r>
      <w:r>
        <w:rPr>
          <w:rFonts w:ascii="Times New Roman" w:hAnsi="Times New Roman"/>
          <w:sz w:val="18"/>
          <w:vertAlign w:val="subscript"/>
        </w:rPr>
        <w:t>0</w:t>
      </w:r>
      <w:r>
        <w:rPr>
          <w:rFonts w:ascii="Times New Roman" w:hAnsi="Times New Roman"/>
          <w:sz w:val="18"/>
        </w:rPr>
        <w:t xml:space="preserve"> = 100, A = 25, r</w:t>
      </w:r>
      <w:r>
        <w:rPr>
          <w:rFonts w:ascii="Times New Roman" w:hAnsi="Times New Roman"/>
          <w:sz w:val="18"/>
          <w:vertAlign w:val="subscript"/>
        </w:rPr>
        <w:t>i</w:t>
      </w:r>
      <w:r>
        <w:rPr>
          <w:rFonts w:ascii="Times New Roman" w:hAnsi="Times New Roman"/>
          <w:sz w:val="18"/>
        </w:rPr>
        <w:t xml:space="preserve"> ∈ [3.9, 4.0]). The black dashed curve shows the external modulation K</w:t>
      </w:r>
      <w:r>
        <w:rPr>
          <w:rFonts w:ascii="Times New Roman" w:hAnsi="Times New Roman"/>
          <w:sz w:val="18"/>
          <w:vertAlign w:val="subscript"/>
        </w:rPr>
        <w:t>n</w:t>
      </w:r>
      <w:r>
        <w:rPr>
          <w:rFonts w:ascii="Times New Roman" w:hAnsi="Times New Roman"/>
          <w:sz w:val="18"/>
        </w:rPr>
        <w:t xml:space="preserve">, the orange line the </w:t>
      </w:r>
      <w:r>
        <w:rPr>
          <w:rFonts w:ascii="Times New Roman" w:hAnsi="Times New Roman"/>
          <w:color w:val="FF0000"/>
          <w:sz w:val="18"/>
        </w:rPr>
        <w:t>mean field</w:t>
      </w:r>
      <w:r>
        <w:rPr>
          <w:rFonts w:ascii="Times New Roman" w:hAnsi="Times New Roman"/>
          <w:sz w:val="18"/>
        </w:rPr>
        <w:t xml:space="preserve"> M sampled every 200 steps, and the shaded band the range of individual states at each sample. (B) Transfer entropy (TE) between the </w:t>
      </w:r>
      <w:r>
        <w:rPr>
          <w:rFonts w:ascii="Times New Roman" w:hAnsi="Times New Roman"/>
          <w:color w:val="FF0000"/>
          <w:sz w:val="18"/>
        </w:rPr>
        <w:t>mean field</w:t>
      </w:r>
      <w:r>
        <w:rPr>
          <w:rFonts w:ascii="Times New Roman" w:hAnsi="Times New Roman"/>
          <w:sz w:val="18"/>
        </w:rPr>
        <w:t xml:space="preserve"> M</w:t>
      </w:r>
      <w:r>
        <w:rPr>
          <w:rFonts w:ascii="Times New Roman" w:hAnsi="Times New Roman"/>
          <w:sz w:val="18"/>
          <w:vertAlign w:val="subscript"/>
        </w:rPr>
        <w:t>n</w:t>
      </w:r>
      <w:r>
        <w:rPr>
          <w:rFonts w:ascii="Times New Roman" w:hAnsi="Times New Roman"/>
          <w:sz w:val="18"/>
        </w:rPr>
        <w:t xml:space="preserve"> and a representative unit x</w:t>
      </w:r>
      <w:r>
        <w:rPr>
          <w:rFonts w:ascii="Times New Roman" w:hAnsi="Times New Roman"/>
          <w:sz w:val="18"/>
          <w:vertAlign w:val="subscript"/>
        </w:rPr>
        <w:t>i,n</w:t>
      </w:r>
      <w:r>
        <w:rPr>
          <w:rFonts w:ascii="Times New Roman" w:hAnsi="Times New Roman"/>
          <w:sz w:val="18"/>
        </w:rPr>
        <w:t xml:space="preserve">, computed in both directions: M → x (blue) and x → M (gray), across modulation amplitudes A. The dashed line shows the logistic fit to TE(M → x). </w:t>
      </w:r>
      <w:r>
        <w:rPr>
          <w:rFonts w:ascii="Times New Roman" w:hAnsi="Times New Roman"/>
          <w:color w:val="FF0000"/>
          <w:sz w:val="18"/>
        </w:rPr>
        <w:t xml:space="preserve">Inset: TE(M → x) as a function of modulation period 2π/ω at A = 25. </w:t>
      </w:r>
      <w:r>
        <w:rPr>
          <w:rFonts w:ascii="Times New Roman" w:hAnsi="Times New Roman"/>
          <w:sz w:val="18"/>
        </w:rPr>
        <w:t>Results are averaged over 10 seeds. Shaded regions show 95% confidence intervals.</w:t>
      </w:r>
    </w:p>
    <w:p>
      <w:pPr>
        <w:spacing w:after="120" w:before="0"/>
        <w:jc w:val="both"/>
      </w:pPr>
      <w:r>
        <w:rPr>
          <w:rFonts w:ascii="Times New Roman" w:hAnsi="Times New Roman"/>
          <w:sz w:val="20"/>
        </w:rPr>
        <w:t>At high modulation amplitudes, TE (M→x) approaches a plateau (Figure 1B), well captured by a logistic fit as TE</w:t>
      </w:r>
      <w:r>
        <w:rPr>
          <w:rFonts w:ascii="Times New Roman" w:hAnsi="Times New Roman"/>
          <w:sz w:val="20"/>
          <w:vertAlign w:val="subscript"/>
        </w:rPr>
        <w:t>M→x</w:t>
      </w:r>
      <w:r>
        <w:rPr>
          <w:rFonts w:ascii="Times New Roman" w:hAnsi="Times New Roman"/>
          <w:sz w:val="20"/>
        </w:rPr>
        <w:t>(A) = T</w:t>
      </w:r>
      <w:r>
        <w:rPr>
          <w:rFonts w:ascii="Times New Roman" w:hAnsi="Times New Roman"/>
          <w:sz w:val="20"/>
          <w:vertAlign w:val="subscript"/>
        </w:rPr>
        <w:t>max</w:t>
      </w:r>
      <w:r>
        <w:rPr>
          <w:rFonts w:ascii="Times New Roman" w:hAnsi="Times New Roman"/>
          <w:sz w:val="20"/>
        </w:rPr>
        <w:t>/(1 + exp(−α(A − A</w:t>
      </w:r>
      <w:r>
        <w:rPr>
          <w:rFonts w:ascii="Times New Roman" w:hAnsi="Times New Roman"/>
          <w:sz w:val="20"/>
          <w:vertAlign w:val="subscript"/>
        </w:rPr>
        <w:t>0</w:t>
      </w:r>
      <w:r>
        <w:rPr>
          <w:rFonts w:ascii="Times New Roman" w:hAnsi="Times New Roman"/>
          <w:sz w:val="20"/>
        </w:rPr>
        <w:t>))), with R²=0.983. This plateau reflects the natural ceiling set by the extent to which a unit's dynamics can be explained by a shared environmental signal. At low amplitudes, idiosyncratic fluctuations from differences in the intrinsic growth rates (</w:t>
      </w:r>
      <w:r>
        <w:rPr>
          <w:rFonts w:ascii="Times New Roman" w:hAnsi="Times New Roman"/>
          <w:i/>
          <w:sz w:val="20"/>
        </w:rPr>
        <w:t>r</w:t>
      </w:r>
      <w:r>
        <w:rPr>
          <w:rFonts w:ascii="Times New Roman" w:hAnsi="Times New Roman"/>
          <w:sz w:val="20"/>
          <w:vertAlign w:val="subscript"/>
        </w:rPr>
        <w:t>i</w:t>
      </w:r>
      <w:r>
        <w:rPr>
          <w:rFonts w:ascii="Times New Roman" w:hAnsi="Times New Roman"/>
          <w:sz w:val="20"/>
        </w:rPr>
        <w:t xml:space="preserve">) dominate; therefore, the </w:t>
      </w:r>
      <w:r>
        <w:rPr>
          <w:rFonts w:ascii="Times New Roman" w:hAnsi="Times New Roman"/>
          <w:color w:val="FF0000"/>
          <w:sz w:val="20"/>
        </w:rPr>
        <w:t>mean field</w:t>
      </w:r>
      <w:r>
        <w:rPr>
          <w:rFonts w:ascii="Times New Roman" w:hAnsi="Times New Roman"/>
          <w:sz w:val="20"/>
        </w:rPr>
        <w:t xml:space="preserve"> has little predictive power. As the amplitude increases, the common modulation progressively shapes all trajectories, making the </w:t>
      </w:r>
      <w:r>
        <w:rPr>
          <w:rFonts w:ascii="Times New Roman" w:hAnsi="Times New Roman"/>
          <w:color w:val="FF0000"/>
          <w:sz w:val="20"/>
        </w:rPr>
        <w:t>mean field</w:t>
      </w:r>
      <w:r>
        <w:rPr>
          <w:rFonts w:ascii="Times New Roman" w:hAnsi="Times New Roman"/>
          <w:sz w:val="20"/>
        </w:rPr>
        <w:t xml:space="preserve"> a stronger predictor of individual behavior. However, once the environmental signal overwhelms individual variability, no further information can be gained, and the predictive relationship has reached the limit imposed by the variance in the environmental drive itself.</w:t>
      </w:r>
    </w:p>
    <w:p>
      <w:pPr>
        <w:spacing w:after="120" w:before="0"/>
        <w:jc w:val="both"/>
      </w:pPr>
      <w:r>
        <w:rPr>
          <w:rFonts w:ascii="Times New Roman" w:hAnsi="Times New Roman"/>
          <w:sz w:val="20"/>
        </w:rPr>
        <w:t xml:space="preserve">This is consistent with the observation that, in the high-amplitude regime, the fraction of variance in individual trajectories explained by the </w:t>
      </w:r>
      <w:r>
        <w:rPr>
          <w:rFonts w:ascii="Times New Roman" w:hAnsi="Times New Roman"/>
          <w:color w:val="FF0000"/>
          <w:sz w:val="20"/>
        </w:rPr>
        <w:t>mean field</w:t>
      </w:r>
      <w:r>
        <w:rPr>
          <w:rFonts w:ascii="Times New Roman" w:hAnsi="Times New Roman"/>
          <w:sz w:val="20"/>
        </w:rPr>
        <w:t xml:space="preserve"> approaches unity (R² ~1; Figure 2A). In other words, stronger modulation eventually adds no new structure and rescales only the same signal. The same saturation trend is reflected in the regression-based measures of alignment (Figure 2B), where both the fraction of variance explained and the signal-to-noise ratio (SNR) increase with amplitude before leveling off.</w:t>
      </w:r>
    </w:p>
    <w:p>
      <w:pPr>
        <w:spacing w:after="120" w:before="0"/>
        <w:jc w:val="both"/>
      </w:pPr>
      <w:r>
        <w:rPr>
          <w:rFonts w:ascii="Times New Roman" w:hAnsi="Times New Roman"/>
          <w:sz w:val="20"/>
        </w:rPr>
        <w:t>We obtained the same qualitative asymmetry when replacing the sinusoidal forcing with a logistic one (representing gradual favorable environmental shift) and with an inverse logistic (representing gradual environmental decline) (Supplementary Figure S2), indicating that the effect is robust to the shape of the modulation.</w:t>
      </w:r>
    </w:p>
    <w:p>
      <w:pPr>
        <w:spacing w:after="120" w:before="0"/>
        <w:jc w:val="both"/>
      </w:pPr>
      <w:r>
        <w:rPr>
          <w:rFonts w:ascii="Times New Roman" w:hAnsi="Times New Roman"/>
          <w:sz w:val="20"/>
        </w:rPr>
        <w:t xml:space="preserve">The saturation was not due to numerical clipping. </w:t>
      </w:r>
      <w:r>
        <w:rPr>
          <w:rFonts w:ascii="Times New Roman" w:hAnsi="Times New Roman"/>
          <w:color w:val="FF0000"/>
          <w:sz w:val="20"/>
        </w:rPr>
        <w:t>A soft bound of (0, 2K</w:t>
      </w:r>
      <w:r>
        <w:rPr>
          <w:rFonts w:ascii="Times New Roman" w:hAnsi="Times New Roman"/>
          <w:color w:val="FF0000"/>
          <w:sz w:val="20"/>
          <w:vertAlign w:val="subscript"/>
        </w:rPr>
        <w:t>0</w:t>
      </w:r>
      <w:r>
        <w:rPr>
          <w:rFonts w:ascii="Times New Roman" w:hAnsi="Times New Roman"/>
          <w:color w:val="FF0000"/>
          <w:sz w:val="20"/>
        </w:rPr>
        <w:t>) = (0, 200) was imposed on all unit states at each time step to prevent unphysical negative concentrations and runaway growth. At the highest modulation amplitude tested (A = 60), the lower bound (x ≤ 0) was approached in fewer than 10% of unit-timestep pairs across all seeds, and the upper bound (x ≥ 200) was never reached. Clipping therefore cannot account for the TE saturation, which instead reflects the information-theoretic ceiling described above.</w:t>
      </w:r>
    </w:p>
    <w:p>
      <w:pPr>
        <w:jc w:val="center"/>
      </w:pPr>
      <w:r>
        <w:drawing>
          <wp:inline xmlns:a="http://schemas.openxmlformats.org/drawingml/2006/main" xmlns:pic="http://schemas.openxmlformats.org/drawingml/2006/picture">
            <wp:extent cx="2926080" cy="1901952"/>
            <wp:docPr id="3" name="Picture 3"/>
            <wp:cNvGraphicFramePr>
              <a:graphicFrameLocks noChangeAspect="1"/>
            </wp:cNvGraphicFramePr>
            <a:graphic>
              <a:graphicData uri="http://schemas.openxmlformats.org/drawingml/2006/picture">
                <pic:pic>
                  <pic:nvPicPr>
                    <pic:cNvPr id="0" name="fig2a.png"/>
                    <pic:cNvPicPr/>
                  </pic:nvPicPr>
                  <pic:blipFill>
                    <a:blip r:embed="rId11"/>
                    <a:stretch>
                      <a:fillRect/>
                    </a:stretch>
                  </pic:blipFill>
                  <pic:spPr>
                    <a:xfrm>
                      <a:off x="0" y="0"/>
                      <a:ext cx="2926080" cy="1901952"/>
                    </a:xfrm>
                    <a:prstGeom prst="rect"/>
                  </pic:spPr>
                </pic:pic>
              </a:graphicData>
            </a:graphic>
          </wp:inline>
        </w:drawing>
      </w:r>
    </w:p>
    <w:p>
      <w:pPr>
        <w:jc w:val="center"/>
      </w:pPr>
      <w:r>
        <w:drawing>
          <wp:inline xmlns:a="http://schemas.openxmlformats.org/drawingml/2006/main" xmlns:pic="http://schemas.openxmlformats.org/drawingml/2006/picture">
            <wp:extent cx="3291840" cy="1828800"/>
            <wp:docPr id="4" name="Picture 4"/>
            <wp:cNvGraphicFramePr>
              <a:graphicFrameLocks noChangeAspect="1"/>
            </wp:cNvGraphicFramePr>
            <a:graphic>
              <a:graphicData uri="http://schemas.openxmlformats.org/drawingml/2006/picture">
                <pic:pic>
                  <pic:nvPicPr>
                    <pic:cNvPr id="0" name="fig2b.png"/>
                    <pic:cNvPicPr/>
                  </pic:nvPicPr>
                  <pic:blipFill>
                    <a:blip r:embed="rId12"/>
                    <a:stretch>
                      <a:fillRect/>
                    </a:stretch>
                  </pic:blipFill>
                  <pic:spPr>
                    <a:xfrm>
                      <a:off x="0" y="0"/>
                      <a:ext cx="3291840" cy="1828800"/>
                    </a:xfrm>
                    <a:prstGeom prst="rect"/>
                  </pic:spPr>
                </pic:pic>
              </a:graphicData>
            </a:graphic>
          </wp:inline>
        </w:drawing>
      </w:r>
    </w:p>
    <w:p>
      <w:pPr>
        <w:spacing w:after="120" w:before="0"/>
        <w:jc w:val="both"/>
      </w:pPr>
      <w:r>
        <w:rPr>
          <w:rFonts w:ascii="Times New Roman" w:hAnsi="Times New Roman"/>
          <w:b/>
          <w:sz w:val="18"/>
        </w:rPr>
        <w:t xml:space="preserve">Figure 2. Alignment with </w:t>
      </w:r>
      <w:r>
        <w:rPr>
          <w:rFonts w:ascii="Times New Roman" w:hAnsi="Times New Roman"/>
          <w:b/>
          <w:color w:val="FF0000"/>
          <w:sz w:val="18"/>
        </w:rPr>
        <w:t>mean field</w:t>
      </w:r>
      <w:r>
        <w:rPr>
          <w:rFonts w:ascii="Times New Roman" w:hAnsi="Times New Roman"/>
          <w:b/>
          <w:sz w:val="18"/>
        </w:rPr>
        <w:t xml:space="preserve"> and modulation signal under increasing amplitude. </w:t>
      </w:r>
      <w:r>
        <w:rPr>
          <w:rFonts w:ascii="Times New Roman" w:hAnsi="Times New Roman"/>
          <w:sz w:val="18"/>
        </w:rPr>
        <w:t xml:space="preserve">(A) Fraction of variance in the </w:t>
      </w:r>
      <w:r>
        <w:rPr>
          <w:rFonts w:ascii="Times New Roman" w:hAnsi="Times New Roman"/>
          <w:color w:val="FF0000"/>
          <w:sz w:val="18"/>
        </w:rPr>
        <w:t>mean field</w:t>
      </w:r>
      <w:r>
        <w:rPr>
          <w:rFonts w:ascii="Times New Roman" w:hAnsi="Times New Roman"/>
          <w:sz w:val="18"/>
        </w:rPr>
        <w:t xml:space="preserve"> (blue) and in a representative unit's trajectory (orange) explained directly by the modulation signal K</w:t>
      </w:r>
      <w:r>
        <w:rPr>
          <w:rFonts w:ascii="Times New Roman" w:hAnsi="Times New Roman"/>
          <w:sz w:val="18"/>
          <w:vertAlign w:val="subscript"/>
        </w:rPr>
        <w:t>n</w:t>
      </w:r>
      <w:r>
        <w:rPr>
          <w:rFonts w:ascii="Times New Roman" w:hAnsi="Times New Roman"/>
          <w:sz w:val="18"/>
        </w:rPr>
        <w:t xml:space="preserve">, as a function of A. (B) Relationship between modulation amplitude A and statistical alignment between the </w:t>
      </w:r>
      <w:r>
        <w:rPr>
          <w:rFonts w:ascii="Times New Roman" w:hAnsi="Times New Roman"/>
          <w:color w:val="FF0000"/>
          <w:sz w:val="18"/>
        </w:rPr>
        <w:t>mean field</w:t>
      </w:r>
      <w:r>
        <w:rPr>
          <w:rFonts w:ascii="Times New Roman" w:hAnsi="Times New Roman"/>
          <w:sz w:val="18"/>
        </w:rPr>
        <w:t xml:space="preserve"> M</w:t>
      </w:r>
      <w:r>
        <w:rPr>
          <w:rFonts w:ascii="Times New Roman" w:hAnsi="Times New Roman"/>
          <w:sz w:val="18"/>
          <w:vertAlign w:val="subscript"/>
        </w:rPr>
        <w:t>n</w:t>
      </w:r>
      <w:r>
        <w:rPr>
          <w:rFonts w:ascii="Times New Roman" w:hAnsi="Times New Roman"/>
          <w:sz w:val="18"/>
        </w:rPr>
        <w:t xml:space="preserve"> and a representative unit x</w:t>
      </w:r>
      <w:r>
        <w:rPr>
          <w:rFonts w:ascii="Times New Roman" w:hAnsi="Times New Roman"/>
          <w:sz w:val="18"/>
          <w:vertAlign w:val="subscript"/>
        </w:rPr>
        <w:t>1,n</w:t>
      </w:r>
      <w:r>
        <w:rPr>
          <w:rFonts w:ascii="Times New Roman" w:hAnsi="Times New Roman"/>
          <w:sz w:val="18"/>
        </w:rPr>
        <w:t xml:space="preserve">. </w:t>
      </w:r>
      <w:r>
        <w:rPr>
          <w:rFonts w:ascii="Times New Roman" w:hAnsi="Times New Roman"/>
          <w:color w:val="FF0000"/>
          <w:sz w:val="18"/>
        </w:rPr>
        <w:t>R² = 1 − SS</w:t>
      </w:r>
      <w:r>
        <w:rPr>
          <w:rFonts w:ascii="Times New Roman" w:hAnsi="Times New Roman"/>
          <w:color w:val="FF0000"/>
          <w:sz w:val="18"/>
          <w:vertAlign w:val="subscript"/>
        </w:rPr>
        <w:t>res</w:t>
      </w:r>
      <w:r>
        <w:rPr>
          <w:rFonts w:ascii="Times New Roman" w:hAnsi="Times New Roman"/>
          <w:color w:val="FF0000"/>
          <w:sz w:val="18"/>
        </w:rPr>
        <w:t>/SS</w:t>
      </w:r>
      <w:r>
        <w:rPr>
          <w:rFonts w:ascii="Times New Roman" w:hAnsi="Times New Roman"/>
          <w:color w:val="FF0000"/>
          <w:sz w:val="18"/>
          <w:vertAlign w:val="subscript"/>
        </w:rPr>
        <w:t>tot</w:t>
      </w:r>
      <w:r>
        <w:rPr>
          <w:rFonts w:ascii="Times New Roman" w:hAnsi="Times New Roman"/>
          <w:color w:val="FF0000"/>
          <w:sz w:val="18"/>
        </w:rPr>
        <w:t xml:space="preserve"> (teal); SNR = Var(M</w:t>
      </w:r>
      <w:r>
        <w:rPr>
          <w:rFonts w:ascii="Times New Roman" w:hAnsi="Times New Roman"/>
          <w:color w:val="FF0000"/>
          <w:sz w:val="18"/>
          <w:vertAlign w:val="subscript"/>
        </w:rPr>
        <w:t>n</w:t>
      </w:r>
      <w:r>
        <w:rPr>
          <w:rFonts w:ascii="Times New Roman" w:hAnsi="Times New Roman"/>
          <w:color w:val="FF0000"/>
          <w:sz w:val="18"/>
        </w:rPr>
        <w:t>)/Var(residuals) (magenta).</w:t>
      </w:r>
    </w:p>
    <w:p>
      <w:r>
        <w:br w:type="page"/>
      </w:r>
    </w:p>
    <w:p>
      <w:pPr>
        <w:spacing w:before="240" w:after="120"/>
        <w:jc w:val="left"/>
      </w:pPr>
      <w:r>
        <w:rPr>
          <w:rFonts w:ascii="Times New Roman" w:hAnsi="Times New Roman"/>
          <w:b/>
          <w:color w:val="FF0000"/>
          <w:sz w:val="24"/>
        </w:rPr>
        <w:t>Conditional transfer entropy: disentangling environmental forcing</w:t>
      </w:r>
    </w:p>
    <w:p>
      <w:pPr>
        <w:spacing w:after="120" w:before="0"/>
        <w:jc w:val="both"/>
      </w:pPr>
      <w:r>
        <w:rPr>
          <w:rFonts w:ascii="Times New Roman" w:hAnsi="Times New Roman"/>
          <w:color w:val="FF0000"/>
          <w:sz w:val="20"/>
        </w:rPr>
        <w:t>The unconditional TE asymmetry demonstrated above could, in principle, arise entirely from the shared environmental signal K</w:t>
      </w:r>
      <w:r>
        <w:rPr>
          <w:rFonts w:ascii="Times New Roman" w:hAnsi="Times New Roman"/>
          <w:color w:val="FF0000"/>
          <w:sz w:val="20"/>
          <w:vertAlign w:val="subscript"/>
        </w:rPr>
        <w:t>n</w:t>
      </w:r>
      <w:r>
        <w:rPr>
          <w:rFonts w:ascii="Times New Roman" w:hAnsi="Times New Roman"/>
          <w:color w:val="FF0000"/>
          <w:sz w:val="20"/>
        </w:rPr>
        <w:t xml:space="preserve"> acting as a common driver. To test this, we computed the conditional transfer entropy (CTE) in both directions, conditioning on K</w:t>
      </w:r>
      <w:r>
        <w:rPr>
          <w:rFonts w:ascii="Times New Roman" w:hAnsi="Times New Roman"/>
          <w:color w:val="FF0000"/>
          <w:sz w:val="20"/>
          <w:vertAlign w:val="subscript"/>
        </w:rPr>
        <w:t>n</w:t>
      </w:r>
      <w:r>
        <w:rPr>
          <w:rFonts w:ascii="Times New Roman" w:hAnsi="Times New Roman"/>
          <w:color w:val="FF0000"/>
          <w:sz w:val="20"/>
        </w:rPr>
        <w:t xml:space="preserve"> (Figure </w:t>
      </w:r>
      <w:r>
        <w:rPr>
          <w:rFonts w:ascii="Times New Roman" w:hAnsi="Times New Roman"/>
          <w:color w:val="FF0000"/>
          <w:sz w:val="20"/>
        </w:rPr>
        <w:t>4</w:t>
      </w:r>
      <w:r>
        <w:rPr>
          <w:rFonts w:ascii="Times New Roman" w:hAnsi="Times New Roman"/>
          <w:color w:val="FF0000"/>
          <w:sz w:val="20"/>
        </w:rPr>
        <w:t>). The CTE measures the residual information flow between the mean field and an individual unit after the contribution of the environmental signal has been removed.</w:t>
      </w:r>
    </w:p>
    <w:p>
      <w:pPr>
        <w:spacing w:after="120" w:before="0"/>
        <w:jc w:val="both"/>
      </w:pPr>
      <w:r>
        <w:rPr>
          <w:rFonts w:ascii="Times New Roman" w:hAnsi="Times New Roman"/>
          <w:color w:val="FF0000"/>
          <w:sz w:val="20"/>
        </w:rPr>
        <w:t>The results reveal a two-component structure in the macro-to-micro information flow. First, CTE(M → x | K</w:t>
      </w:r>
      <w:r>
        <w:rPr>
          <w:rFonts w:ascii="Times New Roman" w:hAnsi="Times New Roman"/>
          <w:color w:val="FF0000"/>
          <w:sz w:val="20"/>
          <w:vertAlign w:val="subscript"/>
        </w:rPr>
        <w:t>n</w:t>
      </w:r>
      <w:r>
        <w:rPr>
          <w:rFonts w:ascii="Times New Roman" w:hAnsi="Times New Roman"/>
          <w:color w:val="FF0000"/>
          <w:sz w:val="20"/>
        </w:rPr>
        <w:t>) remains non-zero across all modulation amplitudes, peaking at intermediate A (≈ 0.36 bits near A ≈ 15). This residual represents genuine predictive information that the mean field carries about individual dynamics beyond what is explained by the environmental signal alone. Because the mean field is a nonlinear aggregate of all unit states, it encodes statistical structure — arising from the interplay of heterogeneous growth rates and shared modulation — that cannot be reduced to the common driver. Second, comparing unconditional and conditional TE at high amplitude (A = 60) shows that the environmental component accounts for approximately 91% of the total TE, confirming that shared forcing is the dominant contributor in the strong-modulation regime. Together, these results demonstrate that the TE asymmetry has two distinct sources: environmentally scaffolded coordination and genuine emergent information flow from nonlinear aggregation.</w:t>
      </w:r>
    </w:p>
    <w:p>
      <w:pPr>
        <w:jc w:val="center"/>
      </w:pPr>
      <w:r>
        <w:drawing>
          <wp:inline xmlns:a="http://schemas.openxmlformats.org/drawingml/2006/main" xmlns:pic="http://schemas.openxmlformats.org/drawingml/2006/picture">
            <wp:extent cx="3291840" cy="2194560"/>
            <wp:docPr id="5" name="Picture 5"/>
            <wp:cNvGraphicFramePr>
              <a:graphicFrameLocks noChangeAspect="1"/>
            </wp:cNvGraphicFramePr>
            <a:graphic>
              <a:graphicData uri="http://schemas.openxmlformats.org/drawingml/2006/picture">
                <pic:pic>
                  <pic:nvPicPr>
                    <pic:cNvPr id="0" name="fig_cte.png"/>
                    <pic:cNvPicPr/>
                  </pic:nvPicPr>
                  <pic:blipFill>
                    <a:blip r:embed="rId13"/>
                    <a:stretch>
                      <a:fillRect/>
                    </a:stretch>
                  </pic:blipFill>
                  <pic:spPr>
                    <a:xfrm>
                      <a:off x="0" y="0"/>
                      <a:ext cx="3291840" cy="2194560"/>
                    </a:xfrm>
                    <a:prstGeom prst="rect"/>
                  </pic:spPr>
                </pic:pic>
              </a:graphicData>
            </a:graphic>
          </wp:inline>
        </w:drawing>
      </w:r>
    </w:p>
    <w:p>
      <w:pPr>
        <w:spacing w:after="120" w:before="0"/>
        <w:jc w:val="both"/>
      </w:pPr>
      <w:r>
        <w:rPr>
          <w:rFonts w:ascii="Times New Roman" w:hAnsi="Times New Roman"/>
          <w:b/>
          <w:color w:val="FF0000"/>
          <w:sz w:val="18"/>
        </w:rPr>
        <w:t xml:space="preserve">Figure 4. Conditional transfer entropy analysis. </w:t>
      </w:r>
      <w:r>
        <w:rPr>
          <w:rFonts w:ascii="Times New Roman" w:hAnsi="Times New Roman"/>
          <w:color w:val="FF0000"/>
          <w:sz w:val="18"/>
        </w:rPr>
        <w:t>Unconditional TE (solid lines) and conditional TE (dashed lines, conditioning on K</w:t>
      </w:r>
      <w:r>
        <w:rPr>
          <w:rFonts w:ascii="Times New Roman" w:hAnsi="Times New Roman"/>
          <w:color w:val="FF0000"/>
          <w:sz w:val="18"/>
          <w:vertAlign w:val="subscript"/>
        </w:rPr>
        <w:t>n</w:t>
      </w:r>
      <w:r>
        <w:rPr>
          <w:rFonts w:ascii="Times New Roman" w:hAnsi="Times New Roman"/>
          <w:color w:val="FF0000"/>
          <w:sz w:val="18"/>
        </w:rPr>
        <w:t>) in both directions: M → x (blue/red) and x → M (gray/orange). CTE(M → x | K</w:t>
      </w:r>
      <w:r>
        <w:rPr>
          <w:rFonts w:ascii="Times New Roman" w:hAnsi="Times New Roman"/>
          <w:color w:val="FF0000"/>
          <w:sz w:val="18"/>
          <w:vertAlign w:val="subscript"/>
        </w:rPr>
        <w:t>n</w:t>
      </w:r>
      <w:r>
        <w:rPr>
          <w:rFonts w:ascii="Times New Roman" w:hAnsi="Times New Roman"/>
          <w:color w:val="FF0000"/>
          <w:sz w:val="18"/>
        </w:rPr>
        <w:t>) drops to ~9% of the unconditional TE at high A, indicating that the asymmetry is predominantly driven by the shared environmental signal. Parameters: N = 1000, K</w:t>
      </w:r>
      <w:r>
        <w:rPr>
          <w:rFonts w:ascii="Times New Roman" w:hAnsi="Times New Roman"/>
          <w:color w:val="FF0000"/>
          <w:sz w:val="18"/>
          <w:vertAlign w:val="subscript"/>
        </w:rPr>
        <w:t>0</w:t>
      </w:r>
      <w:r>
        <w:rPr>
          <w:rFonts w:ascii="Times New Roman" w:hAnsi="Times New Roman"/>
          <w:color w:val="FF0000"/>
          <w:sz w:val="18"/>
        </w:rPr>
        <w:t xml:space="preserve"> = 100, r</w:t>
      </w:r>
      <w:r>
        <w:rPr>
          <w:rFonts w:ascii="Times New Roman" w:hAnsi="Times New Roman"/>
          <w:color w:val="FF0000"/>
          <w:sz w:val="18"/>
          <w:vertAlign w:val="subscript"/>
        </w:rPr>
        <w:t>i</w:t>
      </w:r>
      <w:r>
        <w:rPr>
          <w:rFonts w:ascii="Times New Roman" w:hAnsi="Times New Roman"/>
          <w:color w:val="FF0000"/>
          <w:sz w:val="18"/>
        </w:rPr>
        <w:t xml:space="preserve"> ∈ [3.9, 4.0], 10 seeds.</w:t>
      </w:r>
    </w:p>
    <w:p>
      <w:pPr>
        <w:spacing w:before="240" w:after="120"/>
        <w:jc w:val="left"/>
      </w:pPr>
      <w:r>
        <w:rPr>
          <w:rFonts w:ascii="Times New Roman" w:hAnsi="Times New Roman"/>
          <w:b/>
          <w:color w:val="FF0000"/>
          <w:sz w:val="24"/>
        </w:rPr>
        <w:t>Role of the A/K</w:t>
      </w:r>
      <w:r>
        <w:rPr>
          <w:rFonts w:ascii="Times New Roman" w:hAnsi="Times New Roman"/>
          <w:b/>
          <w:color w:val="FF0000"/>
          <w:sz w:val="24"/>
          <w:vertAlign w:val="subscript"/>
        </w:rPr>
        <w:t>0</w:t>
      </w:r>
      <w:r>
        <w:rPr>
          <w:rFonts w:ascii="Times New Roman" w:hAnsi="Times New Roman"/>
          <w:b/>
          <w:color w:val="FF0000"/>
          <w:sz w:val="24"/>
        </w:rPr>
        <w:t xml:space="preserve"> ratio</w:t>
      </w:r>
    </w:p>
    <w:p>
      <w:pPr>
        <w:spacing w:after="120" w:before="0"/>
        <w:jc w:val="both"/>
      </w:pPr>
      <w:r>
        <w:rPr>
          <w:rFonts w:ascii="Times New Roman" w:hAnsi="Times New Roman"/>
          <w:color w:val="FF0000"/>
          <w:sz w:val="20"/>
        </w:rPr>
        <w:t>The ratio A/K</w:t>
      </w:r>
      <w:r>
        <w:rPr>
          <w:rFonts w:ascii="Times New Roman" w:hAnsi="Times New Roman"/>
          <w:color w:val="FF0000"/>
          <w:sz w:val="20"/>
          <w:vertAlign w:val="subscript"/>
        </w:rPr>
        <w:t>0</w:t>
      </w:r>
      <w:r>
        <w:rPr>
          <w:rFonts w:ascii="Times New Roman" w:hAnsi="Times New Roman"/>
          <w:color w:val="FF0000"/>
          <w:sz w:val="20"/>
        </w:rPr>
        <w:t xml:space="preserve"> determines the relative strength of environmental modulation and governs the transition between dynamical regimes. When A/K</w:t>
      </w:r>
      <w:r>
        <w:rPr>
          <w:rFonts w:ascii="Times New Roman" w:hAnsi="Times New Roman"/>
          <w:color w:val="FF0000"/>
          <w:sz w:val="20"/>
          <w:vertAlign w:val="subscript"/>
        </w:rPr>
        <w:t>0</w:t>
      </w:r>
      <w:r>
        <w:rPr>
          <w:rFonts w:ascii="Times New Roman" w:hAnsi="Times New Roman"/>
          <w:color w:val="FF0000"/>
          <w:sz w:val="20"/>
        </w:rPr>
        <w:t xml:space="preserve"> is small, the logistic equation retains its full quadratic nonlinearity: the term x</w:t>
      </w:r>
      <w:r>
        <w:rPr>
          <w:rFonts w:ascii="Times New Roman" w:hAnsi="Times New Roman"/>
          <w:color w:val="FF0000"/>
          <w:sz w:val="20"/>
          <w:vertAlign w:val="subscript"/>
        </w:rPr>
        <w:t>i,n</w:t>
      </w:r>
      <w:r>
        <w:rPr>
          <w:rFonts w:ascii="Times New Roman" w:hAnsi="Times New Roman"/>
          <w:color w:val="FF0000"/>
          <w:sz w:val="20"/>
        </w:rPr>
        <w:t>/K</w:t>
      </w:r>
      <w:r>
        <w:rPr>
          <w:rFonts w:ascii="Times New Roman" w:hAnsi="Times New Roman"/>
          <w:color w:val="FF0000"/>
          <w:sz w:val="20"/>
          <w:vertAlign w:val="subscript"/>
        </w:rPr>
        <w:t>n</w:t>
      </w:r>
      <w:r>
        <w:rPr>
          <w:rFonts w:ascii="Times New Roman" w:hAnsi="Times New Roman"/>
          <w:color w:val="FF0000"/>
          <w:sz w:val="20"/>
        </w:rPr>
        <w:t xml:space="preserve"> varies only slightly, and individual chaotic trajectories dominate. As A/K</w:t>
      </w:r>
      <w:r>
        <w:rPr>
          <w:rFonts w:ascii="Times New Roman" w:hAnsi="Times New Roman"/>
          <w:color w:val="FF0000"/>
          <w:sz w:val="20"/>
          <w:vertAlign w:val="subscript"/>
        </w:rPr>
        <w:t>0</w:t>
      </w:r>
      <w:r>
        <w:rPr>
          <w:rFonts w:ascii="Times New Roman" w:hAnsi="Times New Roman"/>
          <w:color w:val="FF0000"/>
          <w:sz w:val="20"/>
        </w:rPr>
        <w:t xml:space="preserve"> increases, the modulation increasingly constrains the effective range of K</w:t>
      </w:r>
      <w:r>
        <w:rPr>
          <w:rFonts w:ascii="Times New Roman" w:hAnsi="Times New Roman"/>
          <w:color w:val="FF0000"/>
          <w:sz w:val="20"/>
          <w:vertAlign w:val="subscript"/>
        </w:rPr>
        <w:t>n</w:t>
      </w:r>
      <w:r>
        <w:rPr>
          <w:rFonts w:ascii="Times New Roman" w:hAnsi="Times New Roman"/>
          <w:color w:val="FF0000"/>
          <w:sz w:val="20"/>
        </w:rPr>
        <w:t>, and when K</w:t>
      </w:r>
      <w:r>
        <w:rPr>
          <w:rFonts w:ascii="Times New Roman" w:hAnsi="Times New Roman"/>
          <w:color w:val="FF0000"/>
          <w:sz w:val="20"/>
          <w:vertAlign w:val="subscript"/>
        </w:rPr>
        <w:t>n</w:t>
      </w:r>
      <w:r>
        <w:rPr>
          <w:rFonts w:ascii="Times New Roman" w:hAnsi="Times New Roman"/>
          <w:color w:val="FF0000"/>
          <w:sz w:val="20"/>
        </w:rPr>
        <w:t xml:space="preserve"> becomes large relative to x</w:t>
      </w:r>
      <w:r>
        <w:rPr>
          <w:rFonts w:ascii="Times New Roman" w:hAnsi="Times New Roman"/>
          <w:color w:val="FF0000"/>
          <w:sz w:val="20"/>
          <w:vertAlign w:val="subscript"/>
        </w:rPr>
        <w:t>i,n</w:t>
      </w:r>
      <w:r>
        <w:rPr>
          <w:rFonts w:ascii="Times New Roman" w:hAnsi="Times New Roman"/>
          <w:color w:val="FF0000"/>
          <w:sz w:val="20"/>
        </w:rPr>
        <w:t>, the quadratic term x</w:t>
      </w:r>
      <w:r>
        <w:rPr>
          <w:rFonts w:ascii="Times New Roman" w:hAnsi="Times New Roman"/>
          <w:color w:val="FF0000"/>
          <w:sz w:val="20"/>
          <w:vertAlign w:val="subscript"/>
        </w:rPr>
        <w:t>i,n</w:t>
      </w:r>
      <w:r>
        <w:rPr>
          <w:rFonts w:ascii="Times New Roman" w:hAnsi="Times New Roman"/>
          <w:color w:val="FF0000"/>
          <w:sz w:val="20"/>
        </w:rPr>
        <w:t>/K</w:t>
      </w:r>
      <w:r>
        <w:rPr>
          <w:rFonts w:ascii="Times New Roman" w:hAnsi="Times New Roman"/>
          <w:color w:val="FF0000"/>
          <w:sz w:val="20"/>
          <w:vertAlign w:val="subscript"/>
        </w:rPr>
        <w:t>n</w:t>
      </w:r>
      <w:r>
        <w:rPr>
          <w:rFonts w:ascii="Times New Roman" w:hAnsi="Times New Roman"/>
          <w:color w:val="FF0000"/>
          <w:sz w:val="20"/>
        </w:rPr>
        <w:t xml:space="preserve"> → 0, driving the dynamics toward a near-linear regime where units effectively evolve as x</w:t>
      </w:r>
      <w:r>
        <w:rPr>
          <w:rFonts w:ascii="Times New Roman" w:hAnsi="Times New Roman"/>
          <w:color w:val="FF0000"/>
          <w:sz w:val="20"/>
          <w:vertAlign w:val="subscript"/>
        </w:rPr>
        <w:t>i,n+1</w:t>
      </w:r>
      <w:r>
        <w:rPr>
          <w:rFonts w:ascii="Times New Roman" w:hAnsi="Times New Roman"/>
          <w:color w:val="FF0000"/>
          <w:sz w:val="20"/>
        </w:rPr>
        <w:t xml:space="preserve"> ≈ r</w:t>
      </w:r>
      <w:r>
        <w:rPr>
          <w:rFonts w:ascii="Times New Roman" w:hAnsi="Times New Roman"/>
          <w:color w:val="FF0000"/>
          <w:sz w:val="20"/>
          <w:vertAlign w:val="subscript"/>
        </w:rPr>
        <w:t>i</w:t>
      </w:r>
      <w:r>
        <w:rPr>
          <w:rFonts w:ascii="Times New Roman" w:hAnsi="Times New Roman"/>
          <w:color w:val="FF0000"/>
          <w:sz w:val="20"/>
        </w:rPr>
        <w:t xml:space="preserve"> x</w:t>
      </w:r>
      <w:r>
        <w:rPr>
          <w:rFonts w:ascii="Times New Roman" w:hAnsi="Times New Roman"/>
          <w:color w:val="FF0000"/>
          <w:sz w:val="20"/>
          <w:vertAlign w:val="subscript"/>
        </w:rPr>
        <w:t>i,n</w:t>
      </w:r>
      <w:r>
        <w:rPr>
          <w:rFonts w:ascii="Times New Roman" w:hAnsi="Times New Roman"/>
          <w:color w:val="FF0000"/>
          <w:sz w:val="20"/>
        </w:rPr>
        <w:t>. In this linear limit, all units scale proportionally with K</w:t>
      </w:r>
      <w:r>
        <w:rPr>
          <w:rFonts w:ascii="Times New Roman" w:hAnsi="Times New Roman"/>
          <w:color w:val="FF0000"/>
          <w:sz w:val="20"/>
          <w:vertAlign w:val="subscript"/>
        </w:rPr>
        <w:t>n</w:t>
      </w:r>
      <w:r>
        <w:rPr>
          <w:rFonts w:ascii="Times New Roman" w:hAnsi="Times New Roman"/>
          <w:color w:val="FF0000"/>
          <w:sz w:val="20"/>
        </w:rPr>
        <w:t>, trivially increasing their alignment with the mean field.</w:t>
      </w:r>
    </w:p>
    <w:p>
      <w:pPr>
        <w:spacing w:after="120" w:before="0"/>
        <w:jc w:val="both"/>
      </w:pPr>
      <w:r>
        <w:rPr>
          <w:rFonts w:ascii="Times New Roman" w:hAnsi="Times New Roman"/>
          <w:color w:val="FF0000"/>
          <w:sz w:val="20"/>
        </w:rPr>
        <w:t>Figure 5 confirms that TE(M → x) collapses onto a single curve when plotted against A/K</w:t>
      </w:r>
      <w:r>
        <w:rPr>
          <w:rFonts w:ascii="Times New Roman" w:hAnsi="Times New Roman"/>
          <w:color w:val="FF0000"/>
          <w:sz w:val="20"/>
          <w:vertAlign w:val="subscript"/>
        </w:rPr>
        <w:t>0</w:t>
      </w:r>
      <w:r>
        <w:rPr>
          <w:rFonts w:ascii="Times New Roman" w:hAnsi="Times New Roman"/>
          <w:color w:val="FF0000"/>
          <w:sz w:val="20"/>
        </w:rPr>
        <w:t xml:space="preserve"> for different values of K</w:t>
      </w:r>
      <w:r>
        <w:rPr>
          <w:rFonts w:ascii="Times New Roman" w:hAnsi="Times New Roman"/>
          <w:color w:val="FF0000"/>
          <w:sz w:val="20"/>
          <w:vertAlign w:val="subscript"/>
        </w:rPr>
        <w:t>0</w:t>
      </w:r>
      <w:r>
        <w:rPr>
          <w:rFonts w:ascii="Times New Roman" w:hAnsi="Times New Roman"/>
          <w:color w:val="FF0000"/>
          <w:sz w:val="20"/>
        </w:rPr>
        <w:t>, demonstrating that this ratio is the natural control parameter for the strength of environmentally induced coordination. The TE onset occurs near A/K</w:t>
      </w:r>
      <w:r>
        <w:rPr>
          <w:rFonts w:ascii="Times New Roman" w:hAnsi="Times New Roman"/>
          <w:color w:val="FF0000"/>
          <w:sz w:val="20"/>
          <w:vertAlign w:val="subscript"/>
        </w:rPr>
        <w:t>0</w:t>
      </w:r>
      <w:r>
        <w:rPr>
          <w:rFonts w:ascii="Times New Roman" w:hAnsi="Times New Roman"/>
          <w:color w:val="FF0000"/>
          <w:sz w:val="20"/>
        </w:rPr>
        <w:t xml:space="preserve"> ≈ 0.05–0.1 and saturates around A/K</w:t>
      </w:r>
      <w:r>
        <w:rPr>
          <w:rFonts w:ascii="Times New Roman" w:hAnsi="Times New Roman"/>
          <w:color w:val="FF0000"/>
          <w:sz w:val="20"/>
          <w:vertAlign w:val="subscript"/>
        </w:rPr>
        <w:t>0</w:t>
      </w:r>
      <w:r>
        <w:rPr>
          <w:rFonts w:ascii="Times New Roman" w:hAnsi="Times New Roman"/>
          <w:color w:val="FF0000"/>
          <w:sz w:val="20"/>
        </w:rPr>
        <w:t xml:space="preserve"> ≈ 0.3–0.4.</w:t>
      </w:r>
    </w:p>
    <w:p>
      <w:pPr>
        <w:jc w:val="center"/>
      </w:pPr>
      <w:r>
        <w:drawing>
          <wp:inline xmlns:a="http://schemas.openxmlformats.org/drawingml/2006/main" xmlns:pic="http://schemas.openxmlformats.org/drawingml/2006/picture">
            <wp:extent cx="3291840" cy="2194560"/>
            <wp:docPr id="6" name="Picture 6"/>
            <wp:cNvGraphicFramePr>
              <a:graphicFrameLocks noChangeAspect="1"/>
            </wp:cNvGraphicFramePr>
            <a:graphic>
              <a:graphicData uri="http://schemas.openxmlformats.org/drawingml/2006/picture">
                <pic:pic>
                  <pic:nvPicPr>
                    <pic:cNvPr id="0" name="fig_ak0_ratio.png"/>
                    <pic:cNvPicPr/>
                  </pic:nvPicPr>
                  <pic:blipFill>
                    <a:blip r:embed="rId14"/>
                    <a:stretch>
                      <a:fillRect/>
                    </a:stretch>
                  </pic:blipFill>
                  <pic:spPr>
                    <a:xfrm>
                      <a:off x="0" y="0"/>
                      <a:ext cx="3291840" cy="2194560"/>
                    </a:xfrm>
                    <a:prstGeom prst="rect"/>
                  </pic:spPr>
                </pic:pic>
              </a:graphicData>
            </a:graphic>
          </wp:inline>
        </w:drawing>
      </w:r>
    </w:p>
    <w:p>
      <w:pPr>
        <w:spacing w:after="120" w:before="0"/>
        <w:jc w:val="both"/>
      </w:pPr>
      <w:r>
        <w:rPr>
          <w:rFonts w:ascii="Times New Roman" w:hAnsi="Times New Roman"/>
          <w:b/>
          <w:color w:val="FF0000"/>
          <w:sz w:val="18"/>
        </w:rPr>
        <w:t>Figure 5. TE(M → x) as a function of the ratio A/K</w:t>
      </w:r>
      <w:r>
        <w:rPr>
          <w:rFonts w:ascii="Times New Roman" w:hAnsi="Times New Roman"/>
          <w:b/>
          <w:color w:val="FF0000"/>
          <w:sz w:val="18"/>
          <w:vertAlign w:val="subscript"/>
        </w:rPr>
        <w:t>0</w:t>
      </w:r>
      <w:r>
        <w:rPr>
          <w:rFonts w:ascii="Times New Roman" w:hAnsi="Times New Roman"/>
          <w:b/>
          <w:color w:val="FF0000"/>
          <w:sz w:val="18"/>
        </w:rPr>
        <w:t xml:space="preserve"> </w:t>
      </w:r>
      <w:r>
        <w:rPr>
          <w:rFonts w:ascii="Times New Roman" w:hAnsi="Times New Roman"/>
          <w:color w:val="FF0000"/>
          <w:sz w:val="18"/>
        </w:rPr>
        <w:t>for K</w:t>
      </w:r>
      <w:r>
        <w:rPr>
          <w:rFonts w:ascii="Times New Roman" w:hAnsi="Times New Roman"/>
          <w:color w:val="FF0000"/>
          <w:sz w:val="18"/>
          <w:vertAlign w:val="subscript"/>
        </w:rPr>
        <w:t>0</w:t>
      </w:r>
      <w:r>
        <w:rPr>
          <w:rFonts w:ascii="Times New Roman" w:hAnsi="Times New Roman"/>
          <w:color w:val="FF0000"/>
          <w:sz w:val="18"/>
        </w:rPr>
        <w:t xml:space="preserve"> = 50, 100, 200, 400. The collapse onto approximately the same curve confirms that A/K</w:t>
      </w:r>
      <w:r>
        <w:rPr>
          <w:rFonts w:ascii="Times New Roman" w:hAnsi="Times New Roman"/>
          <w:color w:val="FF0000"/>
          <w:sz w:val="18"/>
          <w:vertAlign w:val="subscript"/>
        </w:rPr>
        <w:t>0</w:t>
      </w:r>
      <w:r>
        <w:rPr>
          <w:rFonts w:ascii="Times New Roman" w:hAnsi="Times New Roman"/>
          <w:color w:val="FF0000"/>
          <w:sz w:val="18"/>
        </w:rPr>
        <w:t xml:space="preserve"> is the natural control parameter. N = 1000, 5 seeds.</w:t>
      </w:r>
    </w:p>
    <w:p>
      <w:pPr>
        <w:spacing w:before="240" w:after="120"/>
        <w:jc w:val="left"/>
      </w:pPr>
      <w:r>
        <w:rPr>
          <w:rFonts w:ascii="Times New Roman" w:hAnsi="Times New Roman"/>
          <w:b/>
          <w:color w:val="FF0000"/>
          <w:sz w:val="24"/>
        </w:rPr>
        <w:t>Inter-unit predictability</w:t>
      </w:r>
    </w:p>
    <w:p>
      <w:pPr>
        <w:spacing w:after="120" w:before="0"/>
        <w:jc w:val="both"/>
      </w:pPr>
      <w:r>
        <w:rPr>
          <w:rFonts w:ascii="Times New Roman" w:hAnsi="Times New Roman"/>
          <w:sz w:val="20"/>
        </w:rPr>
        <w:t xml:space="preserve">The presence of directional information flow between the </w:t>
      </w:r>
      <w:r>
        <w:rPr>
          <w:rFonts w:ascii="Times New Roman" w:hAnsi="Times New Roman"/>
          <w:color w:val="FF0000"/>
          <w:sz w:val="20"/>
        </w:rPr>
        <w:t>mean field</w:t>
      </w:r>
      <w:r>
        <w:rPr>
          <w:rFonts w:ascii="Times New Roman" w:hAnsi="Times New Roman"/>
          <w:sz w:val="20"/>
        </w:rPr>
        <w:t xml:space="preserve"> and individuals raises a further question: can shared modulation generate consistent directional relationships between individuals? Even without interactions, a common drive may induce dependencies across the ensemble. We tested this by comparing the transfer entropy (TE) from a reference unit to 50 other units against a null distribution generated from a circularly shifted surrogate series that preserves autocorrelation while destroying temporal alignment (16) (Figure 3). Significance was defined as a real TE exceeding the 95th percentile of the surrogate distribution, using 100 surrogates per target. With no modulation (A=0), no units exceeded the significance threshold, which is consistent with the absence of temporal coordination. Under moderate modulation (A=25), however, 39 out of 50 units were significant, demonstrating that shared modulation alone induces emergent inter-unit predictability.</w:t>
      </w:r>
    </w:p>
    <w:p>
      <w:pPr>
        <w:jc w:val="center"/>
      </w:pPr>
      <w:r>
        <w:drawing>
          <wp:inline xmlns:a="http://schemas.openxmlformats.org/drawingml/2006/main" xmlns:pic="http://schemas.openxmlformats.org/drawingml/2006/picture">
            <wp:extent cx="3474720" cy="2026920"/>
            <wp:docPr id="7" name="Picture 7"/>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3474720" cy="2026920"/>
                    </a:xfrm>
                    <a:prstGeom prst="rect"/>
                  </pic:spPr>
                </pic:pic>
              </a:graphicData>
            </a:graphic>
          </wp:inline>
        </w:drawing>
      </w:r>
    </w:p>
    <w:p>
      <w:pPr>
        <w:spacing w:after="120" w:before="0"/>
        <w:jc w:val="both"/>
      </w:pPr>
      <w:r>
        <w:rPr>
          <w:rFonts w:ascii="Times New Roman" w:hAnsi="Times New Roman"/>
          <w:b/>
          <w:sz w:val="18"/>
        </w:rPr>
        <w:t xml:space="preserve">Figure 3. </w:t>
      </w:r>
      <w:r>
        <w:rPr>
          <w:rFonts w:ascii="Times New Roman" w:hAnsi="Times New Roman"/>
          <w:sz w:val="18"/>
        </w:rPr>
        <w:t>Transfer entropy (TE) from reference unit x</w:t>
      </w:r>
      <w:r>
        <w:rPr>
          <w:rFonts w:ascii="Times New Roman" w:hAnsi="Times New Roman"/>
          <w:sz w:val="18"/>
          <w:vertAlign w:val="subscript"/>
        </w:rPr>
        <w:t>0</w:t>
      </w:r>
      <w:r>
        <w:rPr>
          <w:rFonts w:ascii="Times New Roman" w:hAnsi="Times New Roman"/>
          <w:sz w:val="18"/>
        </w:rPr>
        <w:t xml:space="preserve"> to each target unit x</w:t>
      </w:r>
      <w:r>
        <w:rPr>
          <w:rFonts w:ascii="Times New Roman" w:hAnsi="Times New Roman"/>
          <w:sz w:val="18"/>
          <w:vertAlign w:val="subscript"/>
        </w:rPr>
        <w:t>j</w:t>
      </w:r>
      <w:r>
        <w:rPr>
          <w:rFonts w:ascii="Times New Roman" w:hAnsi="Times New Roman"/>
          <w:sz w:val="18"/>
        </w:rPr>
        <w:t xml:space="preserve"> for two modulation amplitudes (A = 0, A = 25). Real TE values (symbols) are compared to the distribution from 100 circularly shifted surrogates (shaded bands). Solid symbols mark significant cases (p &lt; 0.05); open symbols are non-significant. Results shown for N = 1000, K</w:t>
      </w:r>
      <w:r>
        <w:rPr>
          <w:rFonts w:ascii="Times New Roman" w:hAnsi="Times New Roman"/>
          <w:sz w:val="18"/>
          <w:vertAlign w:val="subscript"/>
        </w:rPr>
        <w:t>0</w:t>
      </w:r>
      <w:r>
        <w:rPr>
          <w:rFonts w:ascii="Times New Roman" w:hAnsi="Times New Roman"/>
          <w:sz w:val="18"/>
        </w:rPr>
        <w:t xml:space="preserve"> = 100, r</w:t>
      </w:r>
      <w:r>
        <w:rPr>
          <w:rFonts w:ascii="Times New Roman" w:hAnsi="Times New Roman"/>
          <w:sz w:val="18"/>
          <w:vertAlign w:val="subscript"/>
        </w:rPr>
        <w:t>i</w:t>
      </w:r>
      <w:r>
        <w:rPr>
          <w:rFonts w:ascii="Times New Roman" w:hAnsi="Times New Roman"/>
          <w:sz w:val="18"/>
        </w:rPr>
        <w:t xml:space="preserve"> ∈ [3.9, 4.0], T = 10,000 steps (first 1,000 discarded).</w:t>
      </w:r>
    </w:p>
    <w:p>
      <w:pPr>
        <w:spacing w:after="120" w:before="0"/>
        <w:jc w:val="both"/>
      </w:pPr>
      <w:r>
        <w:rPr>
          <w:rFonts w:ascii="Times New Roman" w:hAnsi="Times New Roman"/>
          <w:sz w:val="20"/>
        </w:rPr>
        <w:t xml:space="preserve">Finally, we assessed how modulation shapes macroscopic dynamics by examining the return maps of the </w:t>
      </w:r>
      <w:r>
        <w:rPr>
          <w:rFonts w:ascii="Times New Roman" w:hAnsi="Times New Roman"/>
          <w:color w:val="FF0000"/>
          <w:sz w:val="20"/>
        </w:rPr>
        <w:t>mean field</w:t>
      </w:r>
      <w:r>
        <w:rPr>
          <w:rFonts w:ascii="Times New Roman" w:hAnsi="Times New Roman"/>
          <w:sz w:val="20"/>
        </w:rPr>
        <w:t>. Increasing the modulation amplitude broadens the range of accessible states but maintains trajectories in a coordinated, low-dimensional pattern, indicating that the shared environmental structure expands the dynamical range without disrupting collective organization (Figure S3).</w:t>
      </w:r>
    </w:p>
    <w:p>
      <w:r>
        <w:br w:type="page"/>
      </w:r>
    </w:p>
    <w:p>
      <w:pPr>
        <w:spacing w:before="360" w:after="160"/>
        <w:jc w:val="left"/>
      </w:pPr>
      <w:r>
        <w:rPr>
          <w:rFonts w:ascii="Times New Roman" w:hAnsi="Times New Roman"/>
          <w:b/>
          <w:sz w:val="28"/>
        </w:rPr>
        <w:t>Discussion</w:t>
      </w:r>
    </w:p>
    <w:p>
      <w:pPr>
        <w:spacing w:after="120" w:before="0"/>
        <w:jc w:val="both"/>
      </w:pPr>
      <w:r>
        <w:rPr>
          <w:rFonts w:ascii="Times New Roman" w:hAnsi="Times New Roman"/>
          <w:sz w:val="20"/>
        </w:rPr>
        <w:t>Origins-of-life theories often assume that coordination arises from internal chemical coupling among components (e.g., autocatalytic sets (17), hypercycles (18), and early metabolism (19)). These frameworks share the premise that organizations depend on direct chemical interactions; however, they do not always provide satisfactory explanations for the non-trivial question of how such coupling originates in the first place. Here, we explore a simpler scenario in which structured organizations can emerge without direct interactions, driven solely by shared environmental structures.</w:t>
      </w:r>
    </w:p>
    <w:p>
      <w:pPr>
        <w:spacing w:after="120" w:before="0"/>
        <w:jc w:val="both"/>
      </w:pPr>
      <w:r>
        <w:rPr>
          <w:rFonts w:ascii="Times New Roman" w:hAnsi="Times New Roman"/>
          <w:sz w:val="20"/>
        </w:rPr>
        <w:t>Our model isolates this idea in its simplest possible form, as a population of uncoupled logistic maps exposed to the same time-varying constraint. Global modulation, implemented through sinusoidal changes in the carrying capacity, introduces a temporal structure without inducing direct interactions between components. We then used transfer entropy (TE) as an operational measure of top-down informational influence to quantify this asymmetry, a framework previously applied to systems with explicit coupling (9). In this context, TE is not intended to imply mechanistic causation, but to test whether shared environmental modulation alone can induce directional predictability between scales.</w:t>
      </w:r>
    </w:p>
    <w:p>
      <w:pPr>
        <w:spacing w:after="120" w:before="0"/>
        <w:jc w:val="both"/>
      </w:pPr>
      <w:r>
        <w:rPr>
          <w:rFonts w:ascii="Times New Roman" w:hAnsi="Times New Roman"/>
          <w:color w:val="FF0000"/>
          <w:sz w:val="20"/>
        </w:rPr>
        <w:t>Our conditional transfer entropy (CTE) analysis reveals that the observed TE asymmetry has a two-component structure. At high modulation amplitude (A = 60), the environmental signal accounts for approximately 91% of the unconditional TE, confirming that shared forcing is the dominant contributor. Crucially, however, a genuine residual persists: CTE(M → x | K</w:t>
      </w:r>
      <w:r>
        <w:rPr>
          <w:rFonts w:ascii="Times New Roman" w:hAnsi="Times New Roman"/>
          <w:color w:val="FF0000"/>
          <w:sz w:val="20"/>
          <w:vertAlign w:val="subscript"/>
        </w:rPr>
        <w:t>n</w:t>
      </w:r>
      <w:r>
        <w:rPr>
          <w:rFonts w:ascii="Times New Roman" w:hAnsi="Times New Roman"/>
          <w:color w:val="FF0000"/>
          <w:sz w:val="20"/>
        </w:rPr>
        <w:t>) remains non-zero across all amplitudes and peaks at intermediate A (~0.36 bits), demonstrating that the mean field carries predictive information about individual dynamics that is not attributable to the shared environment. This residual arises because the mean field is a nonlinear aggregate of heterogeneous chaotic units; it encodes collective statistical structure that the linear environmental signal cannot capture. The CTE analysis thus addresses the distinction between common-driver forcing and genuine top-down information flow raised in the literature (20–24) by showing that both mechanisms contribute to the observed asymmetry.</w:t>
      </w:r>
    </w:p>
    <w:p>
      <w:pPr>
        <w:spacing w:after="120" w:before="0"/>
        <w:jc w:val="both"/>
      </w:pPr>
      <w:r>
        <w:rPr>
          <w:rFonts w:ascii="Times New Roman" w:hAnsi="Times New Roman"/>
          <w:color w:val="FF0000"/>
          <w:sz w:val="20"/>
        </w:rPr>
        <w:t>The genuine residual CTE demonstrates that even without direct coupling, the nonlinear aggregation of individually chaotic units into a mean field creates emergent predictive structure — information about individual dynamics that cannot be attributed to the shared environment. This is a non-trivial finding: in a purely linear system, conditioning on the common driver would eliminate the TE asymmetry entirely, yet the nonlinear dynamics of the logistic map generate additional statistical dependencies between the collective and the individual. The environmental scaffolding and the emergent component play complementary roles in prebiotic scenarios: the shared environment provides the dominant coordinating force, while the nonlinear collective dynamics produce genuine top-down predictive structure on top of it. Together, they create a macroscopic variable that carries information about microscopic dynamics — a precondition for functional top-down causation — even before internal coupling mechanisms have evolved. The A/K</w:t>
      </w:r>
      <w:r>
        <w:rPr>
          <w:rFonts w:ascii="Times New Roman" w:hAnsi="Times New Roman"/>
          <w:color w:val="FF0000"/>
          <w:sz w:val="20"/>
          <w:vertAlign w:val="subscript"/>
        </w:rPr>
        <w:t>0</w:t>
      </w:r>
      <w:r>
        <w:rPr>
          <w:rFonts w:ascii="Times New Roman" w:hAnsi="Times New Roman"/>
          <w:color w:val="FF0000"/>
          <w:sz w:val="20"/>
        </w:rPr>
        <w:t xml:space="preserve"> analysis further clarifies that this coordination depends on the relative strength of the modulation: the ratio A/K</w:t>
      </w:r>
      <w:r>
        <w:rPr>
          <w:rFonts w:ascii="Times New Roman" w:hAnsi="Times New Roman"/>
          <w:color w:val="FF0000"/>
          <w:sz w:val="20"/>
          <w:vertAlign w:val="subscript"/>
        </w:rPr>
        <w:t>0</w:t>
      </w:r>
      <w:r>
        <w:rPr>
          <w:rFonts w:ascii="Times New Roman" w:hAnsi="Times New Roman"/>
          <w:color w:val="FF0000"/>
          <w:sz w:val="20"/>
        </w:rPr>
        <w:t xml:space="preserve"> serves as a natural control parameter, with TE onset near A/K</w:t>
      </w:r>
      <w:r>
        <w:rPr>
          <w:rFonts w:ascii="Times New Roman" w:hAnsi="Times New Roman"/>
          <w:color w:val="FF0000"/>
          <w:sz w:val="20"/>
          <w:vertAlign w:val="subscript"/>
        </w:rPr>
        <w:t>0</w:t>
      </w:r>
      <w:r>
        <w:rPr>
          <w:rFonts w:ascii="Times New Roman" w:hAnsi="Times New Roman"/>
          <w:color w:val="FF0000"/>
          <w:sz w:val="20"/>
        </w:rPr>
        <w:t xml:space="preserve"> ≈ 0.05 and saturation near A/K</w:t>
      </w:r>
      <w:r>
        <w:rPr>
          <w:rFonts w:ascii="Times New Roman" w:hAnsi="Times New Roman"/>
          <w:color w:val="FF0000"/>
          <w:sz w:val="20"/>
          <w:vertAlign w:val="subscript"/>
        </w:rPr>
        <w:t>0</w:t>
      </w:r>
      <w:r>
        <w:rPr>
          <w:rFonts w:ascii="Times New Roman" w:hAnsi="Times New Roman"/>
          <w:color w:val="FF0000"/>
          <w:sz w:val="20"/>
        </w:rPr>
        <w:t xml:space="preserve"> ≈ 0.4.</w:t>
      </w:r>
    </w:p>
    <w:p>
      <w:pPr>
        <w:spacing w:after="120" w:before="0"/>
        <w:jc w:val="both"/>
      </w:pPr>
      <w:r>
        <w:rPr>
          <w:rFonts w:ascii="Times New Roman" w:hAnsi="Times New Roman"/>
          <w:sz w:val="20"/>
        </w:rPr>
        <w:t xml:space="preserve">In the transfer entropy (TE) literature, correlations induced by a shared input are often classified as “common driver effects” (20–22) and treated as confounds to be removed (23,24). </w:t>
      </w:r>
      <w:r>
        <w:rPr>
          <w:rFonts w:ascii="Times New Roman" w:hAnsi="Times New Roman"/>
          <w:color w:val="FF0000"/>
          <w:sz w:val="20"/>
        </w:rPr>
        <w:t xml:space="preserve">Our CTE analysis shows that the TE asymmetry reflects two complementary mechanisms: environmentally scaffolded coordination (the dominant contributor at high A) and genuine emergent information flow from nonlinear aggregation (peaking at intermediate A). In the prebiotic context, neither component should be viewed as a confound. The environmental component shows that a common driver </w:t>
      </w:r>
      <w:r>
        <w:rPr>
          <w:rFonts w:ascii="Times New Roman" w:hAnsi="Times New Roman"/>
          <w:i/>
          <w:sz w:val="20"/>
        </w:rPr>
        <w:t>is</w:t>
      </w:r>
      <w:r>
        <w:rPr>
          <w:rFonts w:ascii="Times New Roman" w:hAnsi="Times New Roman"/>
          <w:color w:val="FF0000"/>
          <w:sz w:val="20"/>
        </w:rPr>
        <w:t xml:space="preserve"> a mechanism of interest: shared forcing imposes system-wide coordination that could scaffold the later emergence of internal coupling. The emergent component shows that even without such coupling, the nonlinear collective dynamics of uncoupled units generate additional top-down predictive structure — a form of proto-organization that goes beyond what the environment alone can impose.</w:t>
      </w:r>
    </w:p>
    <w:p>
      <w:pPr>
        <w:spacing w:after="120" w:before="0"/>
        <w:jc w:val="both"/>
      </w:pPr>
      <w:r>
        <w:rPr>
          <w:rFonts w:ascii="Times New Roman" w:hAnsi="Times New Roman"/>
          <w:color w:val="FF0000"/>
          <w:sz w:val="20"/>
        </w:rPr>
        <w:t>It is important to distinguish two modes of coordination that are often conflated under the umbrella of ‘top-down causation.’ Externally imposed boundary conditions — such as the modulated carrying capacity K</w:t>
      </w:r>
      <w:r>
        <w:rPr>
          <w:rFonts w:ascii="Times New Roman" w:hAnsi="Times New Roman"/>
          <w:color w:val="FF0000"/>
          <w:sz w:val="20"/>
          <w:vertAlign w:val="subscript"/>
        </w:rPr>
        <w:t>n</w:t>
      </w:r>
      <w:r>
        <w:rPr>
          <w:rFonts w:ascii="Times New Roman" w:hAnsi="Times New Roman"/>
          <w:color w:val="FF0000"/>
          <w:sz w:val="20"/>
        </w:rPr>
        <w:t xml:space="preserve"> in our model — constrain the dynamics of all units from outside the system. By contrast, internally generated coordination arises from coupling among the units themselves (e.g., autocatalytic feedback, cross-catalysis, or metabolic networks). Our model demonstrates that external boundary conditions alone can produce the informational signatures of top-down influence, including a directional TE asymmetry and inter-unit predictability. The CTE analysis refines this picture: the environmental component of the TE reflects the boundary-condition mechanism, while the genuine residual CTE reflects emergent statistical structure arising from the nonlinear aggregation of heterogeneous units — a form of collective information processing that, while not internally coupled, goes beyond passive entrainment. This distinction clarifies that the ‘top-down’ signal in our model is not a claim of autonomous macroscopic agency, but rather a demonstration that externally structured environments can generate the informational preconditions from which internally coordinated systems may subsequently emerge.</w:t>
      </w:r>
    </w:p>
    <w:p>
      <w:pPr>
        <w:spacing w:after="120" w:before="0"/>
        <w:jc w:val="both"/>
      </w:pPr>
      <w:r>
        <w:rPr>
          <w:rFonts w:ascii="Times New Roman" w:hAnsi="Times New Roman"/>
          <w:sz w:val="20"/>
        </w:rPr>
        <w:t>Although the model is minimal and abstract in nature, it directly relates to scenarios in origins-of-life research where prebiotic chemistry is unfolded under rhythmic environmental forcing. Regular cycles such as wet-dry, freeze-thaw, day-night, and tidal rhythms are known to concentrate reactants, drive condensation, promote molecular restructuring, stabilize intermediates, and facilitate protocell assembly (10–12,25–29). Beyond enabling specific reactions, such cycles may impose system-wide constraints, thus aligning otherwise independent chemical processes. We represent these well-studied periodic influences with sinusoidal forcing, however, the results are not limited to perfect periodicity. Logistic and inverse-logistic modulation, which represent gradual environmental improvements or declines, yield comparable qualitative asymmetries. The key factor is not the waveform itself, but its capacity to impose a coherent structure across the system. In our framework, modulated carrying capacity serves as a proxy for this type of global context, acting as a constraint capable of entraining independent components without direct, physical interaction.</w:t>
      </w:r>
    </w:p>
    <w:p>
      <w:pPr>
        <w:spacing w:after="120" w:before="0"/>
        <w:jc w:val="both"/>
      </w:pPr>
      <w:r>
        <w:rPr>
          <w:rFonts w:ascii="Times New Roman" w:hAnsi="Times New Roman"/>
          <w:sz w:val="20"/>
        </w:rPr>
        <w:t xml:space="preserve">This broader principle may apply across many of life's major evolutionary transitions, where collections of simpler units become integrated wholes (in part) due to a shared environment. Structured environmental conditions could have served as an early coordinating force prior to the evolution of internal control mechanisms. For example, vesicle populations may have synchronized division under thermal cycles, early microbial communities may have differentiated along spatial gradients, and hominins may have aligned behaviors through shared cues before developing language. While these examples are speculative, they illustrate how directional information flow can be externally imposed and later internalized by evolving systems. More generally, the findings highlight how shared external drivers can generate proto-organization in uncoupled systems, a mechanism that may recur across the physical, chemical, and biological domains. Our results suggest that such environmentally driven coordination, even if transient, may provide a scaffold for the emergence of persistent self-organized complexity. </w:t>
      </w:r>
      <w:r>
        <w:rPr>
          <w:rFonts w:ascii="Times New Roman" w:hAnsi="Times New Roman"/>
          <w:color w:val="FF0000"/>
          <w:sz w:val="20"/>
        </w:rPr>
        <w:t>A natural extension of this work would be to test these principles in models that incorporate concrete aspects of prebiotic biochemistry or biophysics — for example, populations of protocells with explicit metabolic kinetics under cyclic environmental forcing — to determine whether the informational signatures identified here persist in more realistic chemical settings.</w:t>
      </w:r>
    </w:p>
    <w:p>
      <w:pPr>
        <w:spacing w:before="240" w:after="120"/>
        <w:jc w:val="left"/>
      </w:pPr>
      <w:r>
        <w:rPr>
          <w:rFonts w:ascii="Times New Roman" w:hAnsi="Times New Roman"/>
          <w:b/>
          <w:color w:val="FF0000"/>
          <w:sz w:val="24"/>
        </w:rPr>
        <w:t>Data availability</w:t>
      </w:r>
    </w:p>
    <w:p>
      <w:pPr>
        <w:spacing w:after="120" w:before="0"/>
        <w:jc w:val="both"/>
      </w:pPr>
      <w:r>
        <w:rPr>
          <w:rFonts w:ascii="Times New Roman" w:hAnsi="Times New Roman"/>
          <w:color w:val="FF0000"/>
          <w:sz w:val="20"/>
        </w:rPr>
        <w:t>All code and data required to reproduce the results are available at: https://github.com/celia/macro-to-micro</w:t>
      </w:r>
    </w:p>
    <w:p>
      <w:r>
        <w:br w:type="page"/>
      </w:r>
    </w:p>
    <w:p>
      <w:pPr>
        <w:spacing w:before="360" w:after="160"/>
        <w:jc w:val="left"/>
      </w:pPr>
      <w:r>
        <w:rPr>
          <w:rFonts w:ascii="Times New Roman" w:hAnsi="Times New Roman"/>
          <w:b/>
          <w:sz w:val="28"/>
        </w:rPr>
        <w:t>References</w:t>
      </w:r>
    </w:p>
    <w:p>
      <w:pPr>
        <w:spacing w:after="60" w:before="0"/>
        <w:ind w:left="340"/>
        <w:jc w:val="left"/>
      </w:pPr>
      <w:r>
        <w:rPr>
          <w:rFonts w:ascii="Times New Roman" w:hAnsi="Times New Roman"/>
          <w:sz w:val="18"/>
        </w:rPr>
        <w:t>1. Campbell DT. “downward causation” in hierarchically organised biological systems. In: Studies in the Philosophy of Biology. London: Macmillan Education UK; 1974. p. 179–86.</w:t>
      </w:r>
    </w:p>
    <w:p>
      <w:pPr>
        <w:spacing w:after="60" w:before="0"/>
        <w:ind w:left="340"/>
        <w:jc w:val="left"/>
      </w:pPr>
      <w:r>
        <w:rPr>
          <w:rFonts w:ascii="Times New Roman" w:hAnsi="Times New Roman"/>
          <w:sz w:val="18"/>
        </w:rPr>
        <w:t>2. Auletta G, Ellis GFR, Jaeger L. Top-down causation by information control: from a philosophical problem to a scientific research programme. J R Soc Interface. 2008;5(27):1159–72.</w:t>
      </w:r>
    </w:p>
    <w:p>
      <w:pPr>
        <w:spacing w:after="60" w:before="0"/>
        <w:ind w:left="340"/>
        <w:jc w:val="left"/>
      </w:pPr>
      <w:r>
        <w:rPr>
          <w:rFonts w:ascii="Times New Roman" w:hAnsi="Times New Roman"/>
          <w:sz w:val="18"/>
        </w:rPr>
        <w:t>3. Davies PCW. The epigenome and top-down causation. Interface Focus. 2012;2(1):42–8.</w:t>
      </w:r>
    </w:p>
    <w:p>
      <w:pPr>
        <w:spacing w:after="60" w:before="0"/>
        <w:ind w:left="340"/>
        <w:jc w:val="left"/>
      </w:pPr>
      <w:r>
        <w:rPr>
          <w:rFonts w:ascii="Times New Roman" w:hAnsi="Times New Roman"/>
          <w:sz w:val="18"/>
        </w:rPr>
        <w:t>4. Szathmáry E, Smith JM. The major evolutionary transitions. Nature. 1995;374(6519):227–32.</w:t>
      </w:r>
    </w:p>
    <w:p>
      <w:pPr>
        <w:spacing w:after="60" w:before="0"/>
        <w:ind w:left="340"/>
        <w:jc w:val="left"/>
      </w:pPr>
      <w:r>
        <w:rPr>
          <w:rFonts w:ascii="Times New Roman" w:hAnsi="Times New Roman"/>
          <w:sz w:val="18"/>
        </w:rPr>
        <w:t>5. Szathmáry E. Toward major evolutionary transitions theory 2.0. Proc Natl Acad Sci USA. 2015;112(33):10104–11.</w:t>
      </w:r>
    </w:p>
    <w:p>
      <w:pPr>
        <w:spacing w:after="60" w:before="0"/>
        <w:ind w:left="340"/>
        <w:jc w:val="left"/>
      </w:pPr>
      <w:r>
        <w:rPr>
          <w:rFonts w:ascii="Times New Roman" w:hAnsi="Times New Roman"/>
          <w:sz w:val="18"/>
        </w:rPr>
        <w:t>6. Ellis GFR. Top-down causation and emergence: some comments on mechanisms. Interface Focus. 2012;2(1):126–40.</w:t>
      </w:r>
    </w:p>
    <w:p>
      <w:pPr>
        <w:spacing w:after="60" w:before="0"/>
        <w:ind w:left="340"/>
        <w:jc w:val="left"/>
      </w:pPr>
      <w:r>
        <w:rPr>
          <w:rFonts w:ascii="Times New Roman" w:hAnsi="Times New Roman"/>
          <w:sz w:val="18"/>
        </w:rPr>
        <w:t>7. Walker S. Top-down causation and the rise of information in the emergence of life. Information. 2014;5(3):424–39.</w:t>
      </w:r>
    </w:p>
    <w:p>
      <w:pPr>
        <w:spacing w:after="60" w:before="0"/>
        <w:ind w:left="340"/>
        <w:jc w:val="left"/>
      </w:pPr>
      <w:r>
        <w:rPr>
          <w:rFonts w:ascii="Times New Roman" w:hAnsi="Times New Roman"/>
          <w:sz w:val="18"/>
        </w:rPr>
        <w:t>8. Walker SI, Davies PCW. The algorithmic origins of life. J R Soc Interface. 2013;10(79):20120869.</w:t>
      </w:r>
    </w:p>
    <w:p>
      <w:pPr>
        <w:spacing w:after="60" w:before="0"/>
        <w:ind w:left="340"/>
        <w:jc w:val="left"/>
      </w:pPr>
      <w:r>
        <w:rPr>
          <w:rFonts w:ascii="Times New Roman" w:hAnsi="Times New Roman"/>
          <w:sz w:val="18"/>
        </w:rPr>
        <w:t>9. Walker SI. Evolutionary transitions and top-down causation. In: Artificial Life 13. MIT Press; 2012.</w:t>
      </w:r>
    </w:p>
    <w:p>
      <w:pPr>
        <w:spacing w:after="60" w:before="0"/>
        <w:ind w:left="340"/>
        <w:jc w:val="left"/>
      </w:pPr>
      <w:r>
        <w:rPr>
          <w:rFonts w:ascii="Times New Roman" w:hAnsi="Times New Roman"/>
          <w:sz w:val="18"/>
        </w:rPr>
        <w:t>10. Monnard PA, Szostak JW. Metal-ion catalyzed polymerization in the eutectic phase in water-ice. J Inorg Biochem. 2008;102(5–6):1104–11.</w:t>
      </w:r>
    </w:p>
    <w:p>
      <w:pPr>
        <w:spacing w:after="60" w:before="0"/>
        <w:ind w:left="340"/>
        <w:jc w:val="left"/>
      </w:pPr>
      <w:r>
        <w:rPr>
          <w:rFonts w:ascii="Times New Roman" w:hAnsi="Times New Roman"/>
          <w:sz w:val="18"/>
        </w:rPr>
        <w:t>11. Campbell TD, et al. Prebiotic condensation through wet-dry cycling regulated by deliquescence. Nat Commun. 2019;10(1):4508.</w:t>
      </w:r>
    </w:p>
    <w:p>
      <w:pPr>
        <w:spacing w:after="60" w:before="0"/>
        <w:ind w:left="340"/>
        <w:jc w:val="left"/>
      </w:pPr>
      <w:r>
        <w:rPr>
          <w:rFonts w:ascii="Times New Roman" w:hAnsi="Times New Roman"/>
          <w:sz w:val="18"/>
        </w:rPr>
        <w:t>12. Zhang SJ, et al. Freeze-thaw cycles enable a prebiotically plausible and continuous pathway from nucleotide activation to nonenzymatic RNA copying. Proc Natl Acad Sci USA. 2022;119(17):e2116429119.</w:t>
      </w:r>
    </w:p>
    <w:p>
      <w:pPr>
        <w:spacing w:after="60" w:before="0"/>
        <w:ind w:left="340"/>
        <w:jc w:val="left"/>
      </w:pPr>
      <w:r>
        <w:rPr>
          <w:rFonts w:ascii="Times New Roman" w:hAnsi="Times New Roman"/>
          <w:sz w:val="18"/>
        </w:rPr>
        <w:t>13. Schreiber T. Measuring information transfer. Phys Rev Lett. 2000;85(2):461–4.</w:t>
      </w:r>
    </w:p>
    <w:p>
      <w:pPr>
        <w:spacing w:after="60" w:before="0"/>
        <w:ind w:left="340"/>
        <w:jc w:val="left"/>
      </w:pPr>
      <w:r>
        <w:rPr>
          <w:rFonts w:ascii="Times New Roman" w:hAnsi="Times New Roman"/>
          <w:sz w:val="18"/>
        </w:rPr>
        <w:t>14. Cisneros L, et al. Information transfer and nontrivial collective behavior in chaotic coupled map networks. Phys Rev E. 2002;65(4 Pt 2A):045204.</w:t>
      </w:r>
    </w:p>
    <w:p>
      <w:pPr>
        <w:spacing w:after="60" w:before="0"/>
        <w:ind w:left="340"/>
        <w:jc w:val="left"/>
      </w:pPr>
      <w:r>
        <w:rPr>
          <w:rFonts w:ascii="Times New Roman" w:hAnsi="Times New Roman"/>
          <w:sz w:val="18"/>
        </w:rPr>
        <w:t>15. Walker SI. Evolutionary transitions and top-down causation. In: Artificial Life 13. MIT Press; 2012.</w:t>
      </w:r>
    </w:p>
    <w:p>
      <w:pPr>
        <w:spacing w:after="60" w:before="0"/>
        <w:ind w:left="340"/>
        <w:jc w:val="left"/>
      </w:pPr>
      <w:r>
        <w:rPr>
          <w:rFonts w:ascii="Times New Roman" w:hAnsi="Times New Roman"/>
          <w:sz w:val="18"/>
        </w:rPr>
        <w:t>16. Shorten DP, Spinney RE, Lizier JT. Estimating Transfer Entropy in Continuous Time Between Neural Spike Trains or Other Event-Based Data. PLoS Comput Biol. 2021;17(4):e1008054.</w:t>
      </w:r>
    </w:p>
    <w:p>
      <w:pPr>
        <w:spacing w:after="60" w:before="0"/>
        <w:ind w:left="340"/>
        <w:jc w:val="left"/>
      </w:pPr>
      <w:r>
        <w:rPr>
          <w:rFonts w:ascii="Times New Roman" w:hAnsi="Times New Roman"/>
          <w:sz w:val="18"/>
        </w:rPr>
        <w:t>17. Kauffman SA. The origins of order: Self-organization and selection in evolution. Oxford University Press; 1993.</w:t>
      </w:r>
    </w:p>
    <w:p>
      <w:pPr>
        <w:spacing w:after="60" w:before="0"/>
        <w:ind w:left="340"/>
        <w:jc w:val="left"/>
      </w:pPr>
      <w:r>
        <w:rPr>
          <w:rFonts w:ascii="Times New Roman" w:hAnsi="Times New Roman"/>
          <w:sz w:val="18"/>
        </w:rPr>
        <w:t>18. Eigen M, Schuster P. The Hypercycle: A Principle of Natural Self-Organization. Springer; 2012.</w:t>
      </w:r>
    </w:p>
    <w:p>
      <w:pPr>
        <w:spacing w:after="60" w:before="0"/>
        <w:ind w:left="340"/>
        <w:jc w:val="left"/>
      </w:pPr>
      <w:r>
        <w:rPr>
          <w:rFonts w:ascii="Times New Roman" w:hAnsi="Times New Roman"/>
          <w:sz w:val="18"/>
        </w:rPr>
        <w:t>19. Wächtershäuser G. Evolution of the first metabolic cycles. Proc Natl Acad Sci USA. 1990;87(1):200–4.</w:t>
      </w:r>
    </w:p>
    <w:p>
      <w:pPr>
        <w:spacing w:after="60" w:before="0"/>
        <w:ind w:left="340"/>
        <w:jc w:val="left"/>
      </w:pPr>
      <w:r>
        <w:rPr>
          <w:rFonts w:ascii="Times New Roman" w:hAnsi="Times New Roman"/>
          <w:sz w:val="18"/>
        </w:rPr>
        <w:t>20. Vicente R, et al. Transfer entropy—a model-free measure of effective connectivity for the neurosciences. J Comput Neurosci. 2011;30(1):45–67.</w:t>
      </w:r>
    </w:p>
    <w:p>
      <w:pPr>
        <w:spacing w:after="60" w:before="0"/>
        <w:ind w:left="340"/>
        <w:jc w:val="left"/>
      </w:pPr>
      <w:r>
        <w:rPr>
          <w:rFonts w:ascii="Times New Roman" w:hAnsi="Times New Roman"/>
          <w:sz w:val="18"/>
        </w:rPr>
        <w:t>21. Lizier JT, Prokopenko M. Differentiating information transfer and causal effect. Eur Phys J B. 2010;73(4):605–15.</w:t>
      </w:r>
    </w:p>
    <w:p>
      <w:pPr>
        <w:spacing w:after="60" w:before="0"/>
        <w:ind w:left="340"/>
        <w:jc w:val="left"/>
      </w:pPr>
      <w:r>
        <w:rPr>
          <w:rFonts w:ascii="Times New Roman" w:hAnsi="Times New Roman"/>
          <w:sz w:val="18"/>
        </w:rPr>
        <w:t>22. Runge J, Petoukhov V, Kurths J. Quantifying the strength and delay of climatic interactions. J Clim. 2014;27(2):720–39.</w:t>
      </w:r>
    </w:p>
    <w:p>
      <w:pPr>
        <w:spacing w:after="60" w:before="0"/>
        <w:ind w:left="340"/>
        <w:jc w:val="left"/>
      </w:pPr>
      <w:r>
        <w:rPr>
          <w:rFonts w:ascii="Times New Roman" w:hAnsi="Times New Roman"/>
          <w:sz w:val="18"/>
        </w:rPr>
        <w:t>23. Smirnov DA, Bezruchko BP. Spurious causalities due to low temporal resolution. EPL. 2012;100(1):10005.</w:t>
      </w:r>
    </w:p>
    <w:p>
      <w:pPr>
        <w:spacing w:after="60" w:before="0"/>
        <w:ind w:left="340"/>
        <w:jc w:val="left"/>
      </w:pPr>
      <w:r>
        <w:rPr>
          <w:rFonts w:ascii="Times New Roman" w:hAnsi="Times New Roman"/>
          <w:sz w:val="18"/>
        </w:rPr>
        <w:t>24. Runge J. Causal network reconstruction from time series. Chaos. 2018;28(7):075310.</w:t>
      </w:r>
    </w:p>
    <w:p>
      <w:pPr>
        <w:spacing w:after="60" w:before="0"/>
        <w:ind w:left="340"/>
        <w:jc w:val="left"/>
      </w:pPr>
      <w:r>
        <w:rPr>
          <w:rFonts w:ascii="Times New Roman" w:hAnsi="Times New Roman"/>
          <w:sz w:val="18"/>
        </w:rPr>
        <w:t>25. Fares HM, et al. Impact of wet-dry cycling on the phase behavior and compartmentalization properties of complex coacervates. Nat Commun. 2020;11(1):5423.</w:t>
      </w:r>
    </w:p>
    <w:p>
      <w:pPr>
        <w:spacing w:after="60" w:before="0"/>
        <w:ind w:left="340"/>
        <w:jc w:val="left"/>
      </w:pPr>
      <w:r>
        <w:rPr>
          <w:rFonts w:ascii="Times New Roman" w:hAnsi="Times New Roman"/>
          <w:sz w:val="18"/>
        </w:rPr>
        <w:t>26. Song X, et al. Wet-dry cycles cause nucleic acid monomers to polymerize into long chains. Proc Natl Acad Sci USA. 2024;121(49):e2412784121.</w:t>
      </w:r>
    </w:p>
    <w:p>
      <w:pPr>
        <w:spacing w:after="60" w:before="0"/>
        <w:ind w:left="340"/>
        <w:jc w:val="left"/>
      </w:pPr>
      <w:r>
        <w:rPr>
          <w:rFonts w:ascii="Times New Roman" w:hAnsi="Times New Roman"/>
          <w:sz w:val="18"/>
        </w:rPr>
        <w:t>27. Menor-Salván C, Marín-Yaseli MR. Prebiotic chemistry in eutectic solutions at the water-ice matrix. Chem Soc Rev. 2012;41(16):5404–15.</w:t>
      </w:r>
    </w:p>
    <w:p>
      <w:pPr>
        <w:spacing w:after="60" w:before="0"/>
        <w:ind w:left="340"/>
        <w:jc w:val="left"/>
      </w:pPr>
      <w:r>
        <w:rPr>
          <w:rFonts w:ascii="Times New Roman" w:hAnsi="Times New Roman"/>
          <w:sz w:val="18"/>
        </w:rPr>
        <w:t>28. Rimmer PB, et al. Timescales for Prebiotic Photochemistry Under Realistic Surface Ultraviolet Conditions. Astrobiology. 2021;21(9):1099–120.</w:t>
      </w:r>
    </w:p>
    <w:p>
      <w:pPr>
        <w:spacing w:after="60" w:before="0"/>
        <w:ind w:left="340"/>
        <w:jc w:val="left"/>
      </w:pPr>
      <w:r>
        <w:rPr>
          <w:rFonts w:ascii="Times New Roman" w:hAnsi="Times New Roman"/>
          <w:sz w:val="18"/>
        </w:rPr>
        <w:t>29. Lathe R. Fast tidal cycling and the origin of life. Icarus. 2004;168(1):18–22.</w:t>
      </w:r>
    </w:p>
    <w:p>
      <w:pPr>
        <w:spacing w:after="60" w:before="0"/>
        <w:ind w:left="340"/>
        <w:jc w:val="left"/>
      </w:pPr>
      <w:r>
        <w:rPr>
          <w:rFonts w:ascii="Times New Roman" w:hAnsi="Times New Roman"/>
          <w:color w:val="FF0000"/>
          <w:sz w:val="18"/>
        </w:rPr>
        <w:t>30. May RM. Simple mathematical models with very complicated dynamics. Nature. 1976;261(5560):459–67.</w:t>
      </w:r>
    </w:p>
    <w:p>
      <w:pPr>
        <w:spacing w:after="60" w:before="0"/>
        <w:ind w:left="340"/>
        <w:jc w:val="left"/>
      </w:pPr>
      <w:r>
        <w:rPr>
          <w:rFonts w:ascii="Times New Roman" w:hAnsi="Times New Roman"/>
          <w:color w:val="FF0000"/>
          <w:sz w:val="18"/>
        </w:rPr>
        <w:t>31. Strogatz SH. Nonlinear Dynamics and Chaos. 2nd ed. Westview Press; 2015.</w:t>
      </w:r>
    </w:p>
    <w:p>
      <w:pPr>
        <w:spacing w:after="60" w:before="0"/>
        <w:ind w:left="340"/>
        <w:jc w:val="left"/>
      </w:pPr>
      <w:r>
        <w:rPr>
          <w:rFonts w:ascii="Times New Roman" w:hAnsi="Times New Roman"/>
          <w:color w:val="FF0000"/>
          <w:sz w:val="18"/>
        </w:rPr>
        <w:t>32. Kaneko K. Clustering, coding, switching, hierarchical ordering, and control in a network of chaotic elements. Physica D. 1990;41(2):137–72.</w:t>
      </w:r>
    </w:p>
    <w:p>
      <w:pPr>
        <w:spacing w:after="60" w:before="0"/>
        <w:ind w:left="340"/>
        <w:jc w:val="left"/>
      </w:pPr>
      <w:r>
        <w:rPr>
          <w:rFonts w:ascii="Times New Roman" w:hAnsi="Times New Roman"/>
          <w:color w:val="FF0000"/>
          <w:sz w:val="18"/>
        </w:rPr>
        <w:t>33. Ruiz-Mirazo K, Briones C, de la Escosura A. Prebiotic systems chemistry: new perspectives for the origins of life. Chem Rev. 2014;114(1):285–366.</w:t>
      </w:r>
    </w:p>
    <w:p>
      <w:pPr>
        <w:spacing w:after="60" w:before="0"/>
        <w:ind w:left="340"/>
        <w:jc w:val="left"/>
      </w:pPr>
      <w:r>
        <w:rPr>
          <w:rFonts w:ascii="Times New Roman" w:hAnsi="Times New Roman"/>
          <w:color w:val="FF0000"/>
          <w:sz w:val="18"/>
        </w:rPr>
        <w:t>34. Bossomaier T, et al. An Introduction to Transfer Entropy. Springer; 2016.</w:t>
      </w:r>
    </w:p>
    <w:p>
      <w:pPr>
        <w:spacing w:after="60" w:before="0"/>
        <w:ind w:left="340"/>
        <w:jc w:val="left"/>
      </w:pPr>
      <w:r>
        <w:rPr>
          <w:rFonts w:ascii="Times New Roman" w:hAnsi="Times New Roman"/>
          <w:color w:val="FF0000"/>
          <w:sz w:val="18"/>
        </w:rPr>
        <w:t>35. Sugihara G, et al. Detecting causality in complex ecosystems. Science. 2012;338(6106):496–500.</w:t>
      </w:r>
    </w:p>
    <w:p>
      <w:pPr>
        <w:spacing w:after="60" w:before="0"/>
        <w:ind w:left="340"/>
        <w:jc w:val="left"/>
      </w:pPr>
      <w:r>
        <w:rPr>
          <w:rFonts w:ascii="Times New Roman" w:hAnsi="Times New Roman"/>
          <w:color w:val="FF0000"/>
          <w:sz w:val="18"/>
        </w:rPr>
        <w:t>36. Boccaletti S, Kurths J, Osipov G, Valladares DL, Zhou CS. The synchronization of chaotic systems. Phys Rep. 2002;366(1–2):1–101.</w:t>
      </w:r>
    </w:p>
    <w:sectPr w:rsidR="00FC693F" w:rsidRPr="0006063C" w:rsidSect="00034616">
      <w:pgSz w:w="12240" w:h="15840"/>
      <w:pgMar w:top="1151" w:right="1440" w:bottom="11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