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  <w:jc w:val="center"/>
      </w:pPr>
      <w:r>
        <w:rPr>
          <w:rFonts w:ascii="Times New Roman" w:hAnsi="Times New Roman"/>
          <w:sz w:val="28"/>
        </w:rPr>
        <w:t>Supplementary Information:</w:t>
      </w:r>
    </w:p>
    <w:p>
      <w:pPr>
        <w:spacing w:after="360" w:before="0"/>
        <w:jc w:val="center"/>
      </w:pPr>
      <w:r>
        <w:rPr>
          <w:rFonts w:ascii="Times New Roman" w:hAnsi="Times New Roman"/>
          <w:sz w:val="24"/>
        </w:rPr>
        <w:t>Context Without Contact: Top-Down Information Flow from Shared Modulation in Uncoupled Prebiotic Systems</w:t>
      </w:r>
    </w:p>
    <w:p>
      <w:pPr>
        <w:spacing w:after="60" w:before="0"/>
        <w:jc w:val="both"/>
      </w:pPr>
      <w:r>
        <w:rPr>
          <w:rFonts w:ascii="Times New Roman" w:hAnsi="Times New Roman"/>
          <w:b/>
          <w:sz w:val="20"/>
        </w:rPr>
        <w:t>This PDF file includes:</w:t>
      </w:r>
    </w:p>
    <w:p>
      <w:pPr>
        <w:spacing w:after="480" w:before="0"/>
        <w:jc w:val="both"/>
      </w:pPr>
      <w:r>
        <w:rPr>
          <w:rFonts w:ascii="Times New Roman" w:hAnsi="Times New Roman"/>
          <w:sz w:val="20"/>
        </w:rPr>
        <w:t>Supporting Figures S1 to S3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26950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S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6950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/>
        <w:jc w:val="both"/>
      </w:pPr>
      <w:r>
        <w:rPr>
          <w:rFonts w:ascii="Times New Roman" w:hAnsi="Times New Roman"/>
          <w:b/>
          <w:sz w:val="18"/>
        </w:rPr>
        <w:t xml:space="preserve">Figure S1. Mean transfer entropy (TE) as a function of embedding lag k for modulation amplitude A=25. </w:t>
      </w:r>
      <w:r>
        <w:rPr>
          <w:rFonts w:ascii="Times New Roman" w:hAnsi="Times New Roman"/>
          <w:sz w:val="18"/>
        </w:rPr>
        <w:t xml:space="preserve">Top-down TE (M→x, circles) measures information from the macroscopic </w:t>
      </w:r>
      <w:r>
        <w:rPr>
          <w:rFonts w:ascii="Times New Roman" w:hAnsi="Times New Roman"/>
          <w:color w:val="FF0000"/>
          <w:sz w:val="18"/>
        </w:rPr>
        <w:t>mean field</w:t>
      </w:r>
      <w:r>
        <w:rPr>
          <w:rFonts w:ascii="Times New Roman" w:hAnsi="Times New Roman"/>
          <w:sz w:val="18"/>
        </w:rPr>
        <w:t xml:space="preserve"> to an individual unit, while bottom-up TE (x→M, squares) measures the reverse direction. Values are averaged over 10 random seeds. Parameters: N=1000, K₀=100, r</w:t>
      </w:r>
      <w:r>
        <w:rPr>
          <w:rFonts w:ascii="Times New Roman" w:hAnsi="Times New Roman"/>
          <w:sz w:val="18"/>
          <w:vertAlign w:val="subscript"/>
        </w:rPr>
        <w:t>i</w:t>
      </w:r>
      <w:r>
        <w:rPr>
          <w:rFonts w:ascii="Times New Roman" w:hAnsi="Times New Roman"/>
          <w:sz w:val="18"/>
        </w:rPr>
        <w:t>∈[3.9,4.0], T=10,000 steps (first 1,000 discarded), 15-bin histograms.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14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S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/>
        <w:jc w:val="both"/>
      </w:pPr>
      <w:r>
        <w:rPr>
          <w:rFonts w:ascii="Times New Roman" w:hAnsi="Times New Roman"/>
          <w:b/>
          <w:sz w:val="18"/>
        </w:rPr>
        <w:t xml:space="preserve">Figure S2. Directional information flow from macroscopic to microscopic dynamics under different modulation profiles. </w:t>
      </w:r>
      <w:r>
        <w:rPr>
          <w:rFonts w:ascii="Times New Roman" w:hAnsi="Times New Roman"/>
          <w:sz w:val="18"/>
        </w:rPr>
        <w:t xml:space="preserve">Transfer entropy (TE) between the </w:t>
      </w:r>
      <w:r>
        <w:rPr>
          <w:rFonts w:ascii="Times New Roman" w:hAnsi="Times New Roman"/>
          <w:color w:val="FF0000"/>
          <w:sz w:val="18"/>
        </w:rPr>
        <w:t>mean field</w:t>
      </w:r>
      <w:r>
        <w:rPr>
          <w:rFonts w:ascii="Times New Roman" w:hAnsi="Times New Roman"/>
          <w:sz w:val="18"/>
        </w:rPr>
        <w:t xml:space="preserve"> M</w:t>
      </w:r>
      <w:r>
        <w:rPr>
          <w:rFonts w:ascii="Times New Roman" w:hAnsi="Times New Roman"/>
          <w:sz w:val="18"/>
          <w:vertAlign w:val="subscript"/>
        </w:rPr>
        <w:t>n</w:t>
      </w:r>
      <w:r>
        <w:rPr>
          <w:rFonts w:ascii="Times New Roman" w:hAnsi="Times New Roman"/>
          <w:sz w:val="18"/>
        </w:rPr>
        <w:t xml:space="preserve"> and a representative unit x</w:t>
      </w:r>
      <w:r>
        <w:rPr>
          <w:rFonts w:ascii="Times New Roman" w:hAnsi="Times New Roman"/>
          <w:sz w:val="18"/>
          <w:vertAlign w:val="subscript"/>
        </w:rPr>
        <w:t>n</w:t>
      </w:r>
      <w:r>
        <w:rPr>
          <w:rFonts w:ascii="Times New Roman" w:hAnsi="Times New Roman"/>
          <w:sz w:val="18"/>
        </w:rPr>
        <w:t>, computed in both directions: M → x (blue) and x → M (gray), for a population of N = 1000 uncoupled logistic units evolving under carrying capacity modulated by (A,C) logistic increase, and (B,D) inverse logistic. In all cases K</w:t>
      </w:r>
      <w:r>
        <w:rPr>
          <w:rFonts w:ascii="Times New Roman" w:hAnsi="Times New Roman"/>
          <w:sz w:val="18"/>
          <w:vertAlign w:val="subscript"/>
        </w:rPr>
        <w:t>0</w:t>
      </w:r>
      <w:r>
        <w:rPr>
          <w:rFonts w:ascii="Times New Roman" w:hAnsi="Times New Roman"/>
          <w:sz w:val="18"/>
        </w:rPr>
        <w:t xml:space="preserve"> = 100, A = 25, r</w:t>
      </w:r>
      <w:r>
        <w:rPr>
          <w:rFonts w:ascii="Times New Roman" w:hAnsi="Times New Roman"/>
          <w:sz w:val="18"/>
          <w:vertAlign w:val="subscript"/>
        </w:rPr>
        <w:t>i</w:t>
      </w:r>
      <w:r>
        <w:rPr>
          <w:rFonts w:ascii="Times New Roman" w:hAnsi="Times New Roman"/>
          <w:sz w:val="18"/>
        </w:rPr>
        <w:t xml:space="preserve"> ∈ [3.9, 4.0], and steepness is k = 0.05, simulated over 10 independent simulations, each run for T = 10,000 steps (first 1,000 discarded). Top row: The black curve shows the external modulation K</w:t>
      </w:r>
      <w:r>
        <w:rPr>
          <w:rFonts w:ascii="Times New Roman" w:hAnsi="Times New Roman"/>
          <w:sz w:val="18"/>
          <w:vertAlign w:val="subscript"/>
        </w:rPr>
        <w:t>n</w:t>
      </w:r>
      <w:r>
        <w:rPr>
          <w:rFonts w:ascii="Times New Roman" w:hAnsi="Times New Roman"/>
          <w:sz w:val="18"/>
        </w:rPr>
        <w:t xml:space="preserve">, the blue line corresponds to the </w:t>
      </w:r>
      <w:r>
        <w:rPr>
          <w:rFonts w:ascii="Times New Roman" w:hAnsi="Times New Roman"/>
          <w:color w:val="FF0000"/>
          <w:sz w:val="18"/>
        </w:rPr>
        <w:t>mean field</w:t>
      </w:r>
      <w:r>
        <w:rPr>
          <w:rFonts w:ascii="Times New Roman" w:hAnsi="Times New Roman"/>
          <w:sz w:val="18"/>
        </w:rPr>
        <w:t xml:space="preserve"> M, sampled every 200 steps, and the shaded gray band indicates the range of individual states at each sampled point. Bottom row: TE estimated using a histogram-based method with lag k = 2 and 15 bins. Shaded regions indicate 95% confidence intervals.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81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S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8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/>
        <w:jc w:val="both"/>
      </w:pPr>
      <w:r>
        <w:rPr>
          <w:rFonts w:ascii="Times New Roman" w:hAnsi="Times New Roman"/>
          <w:b/>
          <w:sz w:val="18"/>
        </w:rPr>
        <w:t xml:space="preserve">Figure S3. Structural modulation induces low-dimensional macroscopic dynamics. </w:t>
      </w:r>
      <w:r>
        <w:rPr>
          <w:rFonts w:ascii="Times New Roman" w:hAnsi="Times New Roman"/>
          <w:sz w:val="18"/>
        </w:rPr>
        <w:t>Return maps of (M</w:t>
      </w:r>
      <w:r>
        <w:rPr>
          <w:rFonts w:ascii="Times New Roman" w:hAnsi="Times New Roman"/>
          <w:sz w:val="18"/>
          <w:vertAlign w:val="subscript"/>
        </w:rPr>
        <w:t>n</w:t>
      </w:r>
      <w:r>
        <w:rPr>
          <w:rFonts w:ascii="Times New Roman" w:hAnsi="Times New Roman"/>
          <w:sz w:val="18"/>
        </w:rPr>
        <w:t>, M</w:t>
      </w:r>
      <w:r>
        <w:rPr>
          <w:rFonts w:ascii="Times New Roman" w:hAnsi="Times New Roman"/>
          <w:sz w:val="18"/>
          <w:vertAlign w:val="subscript"/>
        </w:rPr>
        <w:t>n+1</w:t>
      </w:r>
      <w:r>
        <w:rPr>
          <w:rFonts w:ascii="Times New Roman" w:hAnsi="Times New Roman"/>
          <w:sz w:val="18"/>
        </w:rPr>
        <w:t xml:space="preserve">) for </w:t>
      </w:r>
      <w:r>
        <w:rPr>
          <w:rFonts w:ascii="Times New Roman" w:hAnsi="Times New Roman"/>
          <w:color w:val="FF0000"/>
          <w:sz w:val="18"/>
        </w:rPr>
        <w:t>A = {0, 20, 40, 60}</w:t>
      </w:r>
      <w:r>
        <w:rPr>
          <w:rFonts w:ascii="Times New Roman" w:hAnsi="Times New Roman"/>
          <w:sz w:val="18"/>
        </w:rPr>
        <w:t>, N = 1,000, K</w:t>
      </w:r>
      <w:r>
        <w:rPr>
          <w:rFonts w:ascii="Times New Roman" w:hAnsi="Times New Roman"/>
          <w:sz w:val="18"/>
          <w:vertAlign w:val="subscript"/>
        </w:rPr>
        <w:t>0</w:t>
      </w:r>
      <w:r>
        <w:rPr>
          <w:rFonts w:ascii="Times New Roman" w:hAnsi="Times New Roman"/>
          <w:sz w:val="18"/>
        </w:rPr>
        <w:t xml:space="preserve"> = 100, r</w:t>
      </w:r>
      <w:r>
        <w:rPr>
          <w:rFonts w:ascii="Times New Roman" w:hAnsi="Times New Roman"/>
          <w:sz w:val="18"/>
          <w:vertAlign w:val="subscript"/>
        </w:rPr>
        <w:t>i</w:t>
      </w:r>
      <w:r>
        <w:rPr>
          <w:rFonts w:ascii="Times New Roman" w:hAnsi="Times New Roman"/>
          <w:sz w:val="18"/>
        </w:rPr>
        <w:t xml:space="preserve"> ∈ [3.9, 4.0], and T = 10,000 steps (first 1,000 discarded). The dashed line shows the identity M</w:t>
      </w:r>
      <w:r>
        <w:rPr>
          <w:rFonts w:ascii="Times New Roman" w:hAnsi="Times New Roman"/>
          <w:sz w:val="18"/>
          <w:vertAlign w:val="subscript"/>
        </w:rPr>
        <w:t>n+1</w:t>
      </w:r>
      <w:r>
        <w:rPr>
          <w:rFonts w:ascii="Times New Roman" w:hAnsi="Times New Roman"/>
          <w:sz w:val="18"/>
        </w:rPr>
        <w:t xml:space="preserve"> = M</w:t>
      </w:r>
      <w:r>
        <w:rPr>
          <w:rFonts w:ascii="Times New Roman" w:hAnsi="Times New Roman"/>
          <w:sz w:val="18"/>
          <w:vertAlign w:val="subscript"/>
        </w:rPr>
        <w:t>n</w:t>
      </w:r>
      <w:r>
        <w:rPr>
          <w:rFonts w:ascii="Times New Roman" w:hAnsi="Times New Roman"/>
          <w:sz w:val="18"/>
        </w:rPr>
        <w:t xml:space="preserve"> and the gray curve shows the single-unit logistic map for comparison. At A=0, points cluster near (K</w:t>
      </w:r>
      <w:r>
        <w:rPr>
          <w:rFonts w:ascii="Times New Roman" w:hAnsi="Times New Roman"/>
          <w:sz w:val="18"/>
          <w:vertAlign w:val="subscript"/>
        </w:rPr>
        <w:t>0</w:t>
      </w:r>
      <w:r>
        <w:rPr>
          <w:rFonts w:ascii="Times New Roman" w:hAnsi="Times New Roman"/>
          <w:sz w:val="18"/>
        </w:rPr>
        <w:t>/2, K</w:t>
      </w:r>
      <w:r>
        <w:rPr>
          <w:rFonts w:ascii="Times New Roman" w:hAnsi="Times New Roman"/>
          <w:sz w:val="18"/>
          <w:vertAlign w:val="subscript"/>
        </w:rPr>
        <w:t>0</w:t>
      </w:r>
      <w:r>
        <w:rPr>
          <w:rFonts w:ascii="Times New Roman" w:hAnsi="Times New Roman"/>
          <w:sz w:val="18"/>
        </w:rPr>
        <w:t>/2). As A increases, shared modulation widens the distribution of M</w:t>
      </w:r>
      <w:r>
        <w:rPr>
          <w:rFonts w:ascii="Times New Roman" w:hAnsi="Times New Roman"/>
          <w:sz w:val="18"/>
          <w:vertAlign w:val="subscript"/>
        </w:rPr>
        <w:t>n</w:t>
      </w:r>
      <w:r>
        <w:rPr>
          <w:rFonts w:ascii="Times New Roman" w:hAnsi="Times New Roman"/>
          <w:sz w:val="18"/>
        </w:rPr>
        <w:t>, producing a diagonal spread.</w:t>
      </w:r>
    </w:p>
    <w:sectPr w:rsidR="00FC693F" w:rsidRPr="0006063C" w:rsidSect="00034616">
      <w:pgSz w:w="12240" w:h="15840"/>
      <w:pgMar w:top="1151" w:right="1440" w:bottom="1151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