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Response to Reviewer Comments</w:t>
      </w:r>
    </w:p>
    <w:p>
      <w:pPr>
        <w:spacing w:after="80"/>
        <w:jc w:val="center"/>
      </w:pPr>
      <w:r>
        <w:rPr>
          <w:rFonts w:ascii="Times New Roman" w:hAnsi="Times New Roman"/>
          <w:i/>
          <w:sz w:val="22"/>
        </w:rPr>
        <w:t>Context Without Contact: Top-Down Information Flow from Shared Modulation in Uncoupled Prebiotic Systems</w:t>
      </w:r>
    </w:p>
    <w:p>
      <w:pPr>
        <w:spacing w:after="360"/>
        <w:jc w:val="center"/>
      </w:pPr>
      <w:r>
        <w:rPr>
          <w:rFonts w:ascii="Times New Roman" w:hAnsi="Times New Roman"/>
          <w:sz w:val="20"/>
        </w:rPr>
        <w:t>Manuscript submitted to Royal Society Open Science</w:t>
      </w:r>
    </w:p>
    <w:p>
      <w:pPr>
        <w:spacing w:after="120"/>
        <w:jc w:val="both"/>
      </w:pPr>
      <w:r>
        <w:rPr>
          <w:rFonts w:ascii="Times New Roman" w:hAnsi="Times New Roman"/>
          <w:sz w:val="20"/>
        </w:rPr>
        <w:t>We thank the reviewers for their constructive and insightful comments. We have carefully addressed every point raised. Below, we respond to each comment individually and describe the specific changes made. All modifications to the manuscript are highlighted in red font in the revised manuscript and supplementary information.</w:t>
      </w:r>
    </w:p>
    <w:p>
      <w:pPr>
        <w:pStyle w:val="Heading1"/>
      </w:pPr>
      <w:r>
        <w:rPr>
          <w:rFonts w:ascii="Times New Roman" w:hAnsi="Times New Roman"/>
          <w:color w:val="000000"/>
        </w:rPr>
        <w:t>Reviewer 1</w:t>
      </w:r>
    </w:p>
    <w:p>
      <w:pPr>
        <w:pStyle w:val="Heading2"/>
      </w:pPr>
      <w:r>
        <w:rPr>
          <w:rFonts w:ascii="Times New Roman" w:hAnsi="Times New Roman"/>
          <w:color w:val="000000"/>
        </w:rPr>
        <w:t>Major Comment 1: Strengthen the Introduction</w:t>
      </w:r>
    </w:p>
    <w:p>
      <w:pPr>
        <w:spacing w:after="80"/>
        <w:ind w:left="567"/>
        <w:jc w:val="both"/>
      </w:pPr>
      <w:r>
        <w:rPr>
          <w:rFonts w:ascii="Times New Roman" w:hAnsi="Times New Roman"/>
          <w:b/>
          <w:i/>
          <w:sz w:val="20"/>
        </w:rPr>
        <w:t xml:space="preserve">Comment: </w:t>
      </w:r>
      <w:r>
        <w:rPr>
          <w:rFonts w:ascii="Times New Roman" w:hAnsi="Times New Roman"/>
          <w:i/>
          <w:sz w:val="20"/>
        </w:rPr>
        <w:t>The article is structured into three sections: the Introduction provides background, the Results section outlines the methodology and numerical experiments, and the Discussion interprets the findings in the context of the origin of life. I recommend a more thorough treatment of the underlying themes. In particular, the Introduction would benefit from additional detail and references to prior work that has considered top-down causation in the context of the origin of life and evolutionary transitions. Greater attention should also be given to the role of logistic map models in computational biology and the application of information-theoretic measures. These additions would substantially strengthen the Introduction, which in its current form is insufficient.</w:t>
      </w:r>
    </w:p>
    <w:p>
      <w:pPr>
        <w:spacing w:after="240"/>
        <w:jc w:val="both"/>
      </w:pPr>
      <w:r>
        <w:rPr>
          <w:rFonts w:ascii="Times New Roman" w:hAnsi="Times New Roman"/>
          <w:b/>
          <w:sz w:val="20"/>
        </w:rPr>
        <w:t xml:space="preserve">Response: </w:t>
      </w:r>
      <w:r>
        <w:rPr>
          <w:rFonts w:ascii="Times New Roman" w:hAnsi="Times New Roman"/>
          <w:sz w:val="20"/>
        </w:rPr>
        <w:t>We have substantially expanded the Introduction with three new paragraphs:</w:t>
        <w:br/>
        <w:br/>
        <w:t>(a) Top-down causation in origin of life and evolutionary transitions: We added a paragraph reviewing prior work on top-down causation in the context of major evolutionary transitions and the origin of life. This paragraph now provides the conceptual context for our study, covering the taxonomy of top-down causation mechanisms (Ellis 2012), the identification of major evolutionary transitions as events where independent replicating entities become integrated into higher-level units (Szathmáry &amp; Maynard Smith 1995; Szathmáry 2015), top-down causation by information control (Auletta, Ellis &amp; Jaeger 2008), and the characterization of the origin of life as a transition from dynamics governed by physical law to dynamics governed by information (Walker 2014; Walker &amp; Davies 2013).</w:t>
        <w:br/>
        <w:br/>
        <w:t>(b) Logistic maps in computational biology: We added a paragraph covering the use of logistic map models in population dynamics and computational biology, including their role as minimal models exhibiting deterministic chaos (May 1976; Strogatz 2024). We also acknowledged that synchronization of chaotic systems under common external forcing is a well-characterized phenomenon in nonlinear dynamics (Boccaletti et al. 2002), and discussed the use of coupled logistic maps to study collective behavior and information flow (Cisneros et al. 2002; Kaneko 1990). The value of such minimal models for isolating dynamical consequences from biochemical complexity in prebiotic chemistry is noted (Ruiz-Mirazo et al. 2014).</w:t>
        <w:br/>
        <w:br/>
        <w:t>(c) Information-theoretic measures: We added a paragraph reviewing the application of transfer entropy (Schreiber 2000) across fields, including neuroscience (Vicente et al. 2011; Bossomaier et al. 2016), climate science (Runge et al. 2014; Runge 2018), and ecology (Sugihara et al. 2012). We explicitly discuss a key limitation of standard TE — its sensitivity to common-driver confounds (Lizier &amp; Prokopenko 2010; Runge et al. 2014) — and introduce conditional transfer entropy (CTE) as a principled correction (Runge 2018; Smirnov &amp; Bezruchko 2012), which we then employ in our analysis.</w:t>
      </w:r>
    </w:p>
    <w:p>
      <w:pPr>
        <w:pStyle w:val="Heading2"/>
      </w:pPr>
      <w:r>
        <w:rPr>
          <w:rFonts w:ascii="Times New Roman" w:hAnsi="Times New Roman"/>
          <w:color w:val="000000"/>
        </w:rPr>
        <w:t>Major Comment 2: Add a dedicated Methodology section</w:t>
      </w:r>
    </w:p>
    <w:p>
      <w:pPr>
        <w:spacing w:after="80"/>
        <w:ind w:left="567"/>
        <w:jc w:val="both"/>
      </w:pPr>
      <w:r>
        <w:rPr>
          <w:rFonts w:ascii="Times New Roman" w:hAnsi="Times New Roman"/>
          <w:b/>
          <w:i/>
          <w:sz w:val="20"/>
        </w:rPr>
        <w:t xml:space="preserve">Comment: </w:t>
      </w:r>
      <w:r>
        <w:rPr>
          <w:rFonts w:ascii="Times New Roman" w:hAnsi="Times New Roman"/>
          <w:i/>
          <w:sz w:val="20"/>
        </w:rPr>
        <w:t>I strongly recommend adding a dedicated methodology section that clearly presents the model and parameter choices, some of which appear arbitrary (e.g., r_min, r_max, K₀, A, ω). This would help demonstrate the robustness of the argument.</w:t>
      </w:r>
    </w:p>
    <w:p>
      <w:pPr>
        <w:spacing w:after="240"/>
        <w:jc w:val="both"/>
      </w:pPr>
      <w:r>
        <w:rPr>
          <w:rFonts w:ascii="Times New Roman" w:hAnsi="Times New Roman"/>
          <w:b/>
          <w:sz w:val="20"/>
        </w:rPr>
        <w:t xml:space="preserve">Response: </w:t>
      </w:r>
      <w:r>
        <w:rPr>
          <w:rFonts w:ascii="Times New Roman" w:hAnsi="Times New Roman"/>
          <w:sz w:val="20"/>
        </w:rPr>
        <w:t>We have reorganized the manuscript and added a dedicated Methods section (placed after the Discussion). This section now contains:</w:t>
        <w:br/>
        <w:br/>
        <w:t>(a) Information-theoretic measures: Full formal definitions of both transfer entropy (TE) and conditional transfer entropy (CTE) are written out explicitly, including the conditioning on the environmental signal Kₙ. The interpretation of CTE is stated: if the TE asymmetry were entirely due to the common environmental driver, CTE should be approximately zero in both directions.</w:t>
        <w:br/>
        <w:br/>
        <w:t>(b) Regression-based alignment metrics: We now provide the explicit formulas for the coefficient of determination R² (from a linear regression of the unit trajectory on the mean field) and the signal-to-noise ratio SNR (defined as the variance of the mean field divided by the variance of the regression residuals).</w:t>
        <w:br/>
        <w:br/>
        <w:t>(c) Model parameters: Each parameter is justified in dedicated prose. The growth rate interval r ∈ [3.9, 4.0] ensures all units operate deep within the chaotic regime. The baseline carrying capacity K₀ = 100 is noted to be a scale parameter (dynamics depend on x/K, not absolute values). The modulation amplitude A was varied from 0 to 60 (A/K₀ up to 0.6). The modulation frequency ω = 2π/2000 provides approximately 4.5 full cycles within the analysis window, with robustness to ω demonstrated in Supplementary Figure S1. Population size N = 1000 and simulation length T = 10,000 steps (first 1,000 discarded as transients) are also justified.</w:t>
        <w:br/>
        <w:br/>
        <w:t>(d) Analysis parameters: The histogram-based TE estimation method is fully documented, including the choice of 15 equally spaced bins, embedding lag k = 2 (chosen to reduce near-synchronous correlations that inflate TE at k = 1, with sensitivity shown in Supplementary Figure S3), conversion to bits, averaging over 10 seeds, and 95% confidence intervals via the Student’s t-distribution.</w:t>
        <w:br/>
        <w:br/>
        <w:t>(e) Surrogate significance test: The circular-shift surrogate method (Shorten et al. 2021) is described in full, including the number of surrogates (100), minimum shift (10 steps), and the empirical p-value formula with significance threshold p &lt; 0.01.</w:t>
      </w:r>
    </w:p>
    <w:p>
      <w:pPr>
        <w:pStyle w:val="Heading2"/>
      </w:pPr>
      <w:r>
        <w:rPr>
          <w:rFonts w:ascii="Times New Roman" w:hAnsi="Times New Roman"/>
          <w:color w:val="000000"/>
        </w:rPr>
        <w:t>Major Comment 3: Disentangle top-down causation from common-driver forcing</w:t>
      </w:r>
    </w:p>
    <w:p>
      <w:pPr>
        <w:spacing w:after="80"/>
        <w:ind w:left="567"/>
        <w:jc w:val="both"/>
      </w:pPr>
      <w:r>
        <w:rPr>
          <w:rFonts w:ascii="Times New Roman" w:hAnsi="Times New Roman"/>
          <w:b/>
          <w:i/>
          <w:sz w:val="20"/>
        </w:rPr>
        <w:t xml:space="preserve">Comment: </w:t>
      </w:r>
      <w:r>
        <w:rPr>
          <w:rFonts w:ascii="Times New Roman" w:hAnsi="Times New Roman"/>
          <w:i/>
          <w:sz w:val="20"/>
        </w:rPr>
        <w:t>From a methodological standpoint, I am not convinced that the Author demonstrates convincingly that the alignment of individual units with the mean field is due to top-down causation rather than to forcing caused by the environmental modulation A. [...] I encourage the Author to supplement their analysis by isolating constraint-driven order from mean-field-driven order. Conditional transfer entropy could be useful for this purpose. Moreover, I encourage the Author to pay particular attention to the value of A/K₀, which determines the extent to which the quadratic term influences the forcing from the environmental constraint. Combined with a deeper analysis of Figure 1 — for instance, why TE increases monotonically with A, and why the confidence interval rises sharply when A ≈ 50 — this would substantially strengthen the Author’s argument.</w:t>
      </w:r>
    </w:p>
    <w:p>
      <w:pPr>
        <w:spacing w:after="240"/>
        <w:jc w:val="both"/>
      </w:pPr>
      <w:r>
        <w:rPr>
          <w:rFonts w:ascii="Times New Roman" w:hAnsi="Times New Roman"/>
          <w:b/>
          <w:sz w:val="20"/>
        </w:rPr>
        <w:t xml:space="preserve">Response: </w:t>
      </w:r>
      <w:r>
        <w:rPr>
          <w:rFonts w:ascii="Times New Roman" w:hAnsi="Times New Roman"/>
          <w:sz w:val="20"/>
        </w:rPr>
        <w:t>We thank the reviewer for this important suggestion, which has substantially strengthened the manuscript. We have addressed all three sub-points:</w:t>
        <w:br/>
        <w:br/>
        <w:t>(a) Conditional transfer entropy (CTE) analysis: We computed CTE in both directions (M → x and x → M), conditioning on the environmental signal Kₙ, across the same parameter sweep as Figure 1B (A = 0 to 60). Results are presented in a new Figure 3 and a new Results subsection (“Conditional transfer entropy: disentangling environmental forcing”). The analysis reveals a two-component structure: the environmental signal accounts for a large share of the unconditional TE (as expected, since it is the shared driver), but a residual CTE(M→x|Kₙ) persists across modulation amplitudes. At A = 60, conditioning reduces the TE by approximately 91%, yet the residual conditioned signal still shows CTE(M→x|Kₙ) &gt; CTE(x→M|Kₙ). A directional difference Δ_CTE = CTE(M→x|Kₙ) − CTE(x→M|Kₙ) changes sign at intermediate amplitudes (A~15) and becomes positive at moderate to high modulation strengths. The two components — environmental scaffolding and emergent information flow from nonlinear aggregation — are discussed explicitly in both the Results and Discussion sections.</w:t>
        <w:br/>
        <w:br/>
        <w:t>(b) A/K₀ ratio analysis: We performed a parameter sweep over different baseline carrying capacities (K₀ = 50, 100, 200, and 400). The results (new Supplementary Figure S2) show that the TE curves collapse onto a single curve when plotted as a function of A/K₀, confirming this ratio as the relevant control parameter governing the transition from the nonlinear (quadratic-dominated) regime to the near-linear regime. This is now discussed in the Results section.</w:t>
        <w:br/>
        <w:br/>
        <w:t>(c) Explanation of Figure 1B features: We added explicit explanations for the two features the reviewer highlighted. First, TE(M→x) increases monotonically with A because, at low amplitudes, idiosyncratic fluctuations from differences in the intrinsic growth rates dominate and the mean field has little predictive power; as the amplitude increases, the common modulation progressively shapes all trajectories, increasing the predictive information from the mean field about individual trajectories; once the environmental signal dominates the dynamics, additional increases in A introduce little additional predictive information, and the TE saturates. Second, the widening of the confidence interval at large amplitudes (A ≳ 40–50) reflects increased sensitivity to initial conditions across simulation seeds as the modulation amplitude approaches the scale of the baseline carrying capacity (A/K₀ ~ 0.5). In this regime, stronger forcing amplifies small differences in the chaotic trajectories, leading to greater variability in the estimated TE across runs.</w:t>
      </w:r>
    </w:p>
    <w:p>
      <w:pPr>
        <w:pStyle w:val="Heading2"/>
      </w:pPr>
      <w:r>
        <w:rPr>
          <w:rFonts w:ascii="Times New Roman" w:hAnsi="Times New Roman"/>
          <w:color w:val="000000"/>
        </w:rPr>
        <w:t>Minor Comment 3: Unify terminology</w:t>
      </w:r>
    </w:p>
    <w:p>
      <w:pPr>
        <w:spacing w:after="80"/>
        <w:ind w:left="567"/>
        <w:jc w:val="both"/>
      </w:pPr>
      <w:r>
        <w:rPr>
          <w:rFonts w:ascii="Times New Roman" w:hAnsi="Times New Roman"/>
          <w:b/>
          <w:i/>
          <w:sz w:val="20"/>
        </w:rPr>
        <w:t xml:space="preserve">Comment: </w:t>
      </w:r>
      <w:r>
        <w:rPr>
          <w:rFonts w:ascii="Times New Roman" w:hAnsi="Times New Roman"/>
          <w:i/>
          <w:sz w:val="20"/>
        </w:rPr>
        <w:t>Please unify the terminology: "ensemble mean" (p. 4) vs. "mean field" (p. 5), "population mean" (p. 6), and so on.</w:t>
      </w:r>
    </w:p>
    <w:p>
      <w:pPr>
        <w:spacing w:after="240"/>
        <w:jc w:val="both"/>
      </w:pPr>
      <w:r>
        <w:rPr>
          <w:rFonts w:ascii="Times New Roman" w:hAnsi="Times New Roman"/>
          <w:b/>
          <w:sz w:val="20"/>
        </w:rPr>
        <w:t xml:space="preserve">Response: </w:t>
      </w:r>
      <w:r>
        <w:rPr>
          <w:rFonts w:ascii="Times New Roman" w:hAnsi="Times New Roman"/>
          <w:sz w:val="20"/>
        </w:rPr>
        <w:t>We have standardized the terminology to "mean field" throughout the entire manuscript (main text, figure captions, and supplementary materials). All instances of “ensemble mean” and “population mean” have been replaced.</w:t>
      </w:r>
    </w:p>
    <w:p>
      <w:pPr>
        <w:pStyle w:val="Heading2"/>
      </w:pPr>
      <w:r>
        <w:rPr>
          <w:rFonts w:ascii="Times New Roman" w:hAnsi="Times New Roman"/>
          <w:color w:val="000000"/>
        </w:rPr>
        <w:t>Minor Comment 4: Show how TE varies with ω</w:t>
      </w:r>
    </w:p>
    <w:p>
      <w:pPr>
        <w:spacing w:after="80"/>
        <w:ind w:left="567"/>
        <w:jc w:val="both"/>
      </w:pPr>
      <w:r>
        <w:rPr>
          <w:rFonts w:ascii="Times New Roman" w:hAnsi="Times New Roman"/>
          <w:b/>
          <w:i/>
          <w:sz w:val="20"/>
        </w:rPr>
        <w:t xml:space="preserve">Comment: </w:t>
      </w:r>
      <w:r>
        <w:rPr>
          <w:rFonts w:ascii="Times New Roman" w:hAnsi="Times New Roman"/>
          <w:i/>
          <w:sz w:val="20"/>
        </w:rPr>
        <w:t>In Figure 1B, I suggest adding an inset illustrating how TE varies as a function of ω.</w:t>
      </w:r>
    </w:p>
    <w:p>
      <w:pPr>
        <w:spacing w:after="240"/>
        <w:jc w:val="both"/>
      </w:pPr>
      <w:r>
        <w:rPr>
          <w:rFonts w:ascii="Times New Roman" w:hAnsi="Times New Roman"/>
          <w:b/>
          <w:sz w:val="20"/>
        </w:rPr>
        <w:t xml:space="preserve">Response: </w:t>
      </w:r>
      <w:r>
        <w:rPr>
          <w:rFonts w:ascii="Times New Roman" w:hAnsi="Times New Roman"/>
          <w:sz w:val="20"/>
        </w:rPr>
        <w:t>We have added a new Supplementary Figure S1 showing TE(M→x) as a function of the modulation period (2π/ω) at fixed amplitude A = 25. Transfer entropy remains high for slow modulation (long periods) but decreases as the modulation frequency increases, indicating that rapid environmental oscillations average out relative to the intrinsic chaotic dynamics and impose weaker coherent structure. A brief description has been added to the Results text, and the Methods section references this figure in the justification of ω = 2π/2000.</w:t>
      </w:r>
    </w:p>
    <w:p>
      <w:pPr>
        <w:pStyle w:val="Heading2"/>
      </w:pPr>
      <w:r>
        <w:rPr>
          <w:rFonts w:ascii="Times New Roman" w:hAnsi="Times New Roman"/>
          <w:color w:val="000000"/>
        </w:rPr>
        <w:t>Minor Comment 5: Clarify the saturation / soft-bound statement</w:t>
      </w:r>
    </w:p>
    <w:p>
      <w:pPr>
        <w:spacing w:after="80"/>
        <w:ind w:left="567"/>
        <w:jc w:val="both"/>
      </w:pPr>
      <w:r>
        <w:rPr>
          <w:rFonts w:ascii="Times New Roman" w:hAnsi="Times New Roman"/>
          <w:b/>
          <w:i/>
          <w:sz w:val="20"/>
        </w:rPr>
        <w:t xml:space="preserve">Comment: </w:t>
      </w:r>
      <w:r>
        <w:rPr>
          <w:rFonts w:ascii="Times New Roman" w:hAnsi="Times New Roman"/>
          <w:i/>
          <w:sz w:val="20"/>
        </w:rPr>
        <w:t>The Author writes that "The saturation was not due to numerical clipping; although a soft bound..." Please explain.</w:t>
      </w:r>
    </w:p>
    <w:p>
      <w:pPr>
        <w:spacing w:after="240"/>
        <w:jc w:val="both"/>
      </w:pPr>
      <w:r>
        <w:rPr>
          <w:rFonts w:ascii="Times New Roman" w:hAnsi="Times New Roman"/>
          <w:b/>
          <w:sz w:val="20"/>
        </w:rPr>
        <w:t xml:space="preserve">Response: </w:t>
      </w:r>
      <w:r>
        <w:rPr>
          <w:rFonts w:ascii="Times New Roman" w:hAnsi="Times New Roman"/>
          <w:sz w:val="20"/>
        </w:rPr>
        <w:t>We have expanded this passage to clarify three points: (a) what the soft bound is — a bound of (0, 2K₀) = (0, 200) was imposed on all unit states at each time step to prevent unphysical negative concentrations and runaway growth while preserving the natural dynamics; (b) how often the bound was approached — at the highest modulation amplitude tested (A = 60), the lower bound (x ≤ 0) was approached in fewer than 10% of unit-timestep pairs across all seeds, and the upper bound (x ≥ 200) was never reached; and (c) why this rules out clipping as the driver of TE saturation — since the bound is rarely active, the saturation in TE reflects the genuine information-theoretic ceiling of environmental entrainment rather than an artifact.</w:t>
      </w:r>
    </w:p>
    <w:p>
      <w:pPr>
        <w:pStyle w:val="Heading2"/>
      </w:pPr>
      <w:r>
        <w:rPr>
          <w:rFonts w:ascii="Times New Roman" w:hAnsi="Times New Roman"/>
          <w:color w:val="000000"/>
        </w:rPr>
        <w:t>Minor Comment 6: Write out SNR and R² formulas</w:t>
      </w:r>
    </w:p>
    <w:p>
      <w:pPr>
        <w:spacing w:after="80"/>
        <w:ind w:left="567"/>
        <w:jc w:val="both"/>
      </w:pPr>
      <w:r>
        <w:rPr>
          <w:rFonts w:ascii="Times New Roman" w:hAnsi="Times New Roman"/>
          <w:b/>
          <w:i/>
          <w:sz w:val="20"/>
        </w:rPr>
        <w:t xml:space="preserve">Comment: </w:t>
      </w:r>
      <w:r>
        <w:rPr>
          <w:rFonts w:ascii="Times New Roman" w:hAnsi="Times New Roman"/>
          <w:i/>
          <w:sz w:val="20"/>
        </w:rPr>
        <w:t>Please explicitly write out the SNR and R² formulas actually computed.</w:t>
      </w:r>
    </w:p>
    <w:p>
      <w:pPr>
        <w:spacing w:after="240"/>
        <w:jc w:val="both"/>
      </w:pPr>
      <w:r>
        <w:rPr>
          <w:rFonts w:ascii="Times New Roman" w:hAnsi="Times New Roman"/>
          <w:b/>
          <w:sz w:val="20"/>
        </w:rPr>
        <w:t xml:space="preserve">Response: </w:t>
      </w:r>
      <w:r>
        <w:rPr>
          <w:rFonts w:ascii="Times New Roman" w:hAnsi="Times New Roman"/>
          <w:sz w:val="20"/>
        </w:rPr>
        <w:t>We have added explicit formulas for both metrics in the new Methods section under “Regression-based alignment metrics.” R² is defined as the standard coefficient of determination from a linear regression of the unit trajectory on the mean field. SNR is defined as Var(Mₙ) / Var(x − x̂), where x̂ denotes the regression prediction. Both formulas include full variable definitions.</w:t>
      </w:r>
    </w:p>
    <w:p>
      <w:pPr>
        <w:pStyle w:val="Heading2"/>
      </w:pPr>
      <w:r>
        <w:rPr>
          <w:rFonts w:ascii="Times New Roman" w:hAnsi="Times New Roman"/>
          <w:color w:val="000000"/>
        </w:rPr>
        <w:t>Minor Comment 7: Fix the GitHub repo URL</w:t>
      </w:r>
    </w:p>
    <w:p>
      <w:pPr>
        <w:spacing w:after="80"/>
        <w:ind w:left="567"/>
        <w:jc w:val="both"/>
      </w:pPr>
      <w:r>
        <w:rPr>
          <w:rFonts w:ascii="Times New Roman" w:hAnsi="Times New Roman"/>
          <w:b/>
          <w:i/>
          <w:sz w:val="20"/>
        </w:rPr>
        <w:t xml:space="preserve">Comment: </w:t>
      </w:r>
      <w:r>
        <w:rPr>
          <w:rFonts w:ascii="Times New Roman" w:hAnsi="Times New Roman"/>
          <w:i/>
          <w:sz w:val="20"/>
        </w:rPr>
        <w:t>The address of the GitHub repo is incorrect.</w:t>
      </w:r>
    </w:p>
    <w:p>
      <w:pPr>
        <w:spacing w:after="240"/>
        <w:jc w:val="both"/>
      </w:pPr>
      <w:r>
        <w:rPr>
          <w:rFonts w:ascii="Times New Roman" w:hAnsi="Times New Roman"/>
          <w:b/>
          <w:sz w:val="20"/>
        </w:rPr>
        <w:t xml:space="preserve">Response: </w:t>
      </w:r>
      <w:r>
        <w:rPr>
          <w:rFonts w:ascii="Times New Roman" w:hAnsi="Times New Roman"/>
          <w:sz w:val="20"/>
        </w:rPr>
        <w:t>The GitHub repository URL has been corrected to https://github.com/celiablanco/macro_to_micro in both the main manuscript and the supplementary information.</w:t>
      </w:r>
    </w:p>
    <w:p>
      <w:pPr>
        <w:pStyle w:val="Heading2"/>
      </w:pPr>
      <w:r>
        <w:rPr>
          <w:rFonts w:ascii="Times New Roman" w:hAnsi="Times New Roman"/>
          <w:color w:val="000000"/>
        </w:rPr>
        <w:t>Minor Comment 8: Fix Supplementary Figure S5 caption</w:t>
      </w:r>
    </w:p>
    <w:p>
      <w:pPr>
        <w:spacing w:after="80"/>
        <w:ind w:left="567"/>
        <w:jc w:val="both"/>
      </w:pPr>
      <w:r>
        <w:rPr>
          <w:rFonts w:ascii="Times New Roman" w:hAnsi="Times New Roman"/>
          <w:b/>
          <w:i/>
          <w:sz w:val="20"/>
        </w:rPr>
        <w:t xml:space="preserve">Comment: </w:t>
      </w:r>
      <w:r>
        <w:rPr>
          <w:rFonts w:ascii="Times New Roman" w:hAnsi="Times New Roman"/>
          <w:i/>
          <w:sz w:val="20"/>
        </w:rPr>
        <w:t>Supplementary Information, p. 4: The caption should indicate "Return maps of [...] A = {0, 20, 40, 60}".</w:t>
      </w:r>
    </w:p>
    <w:p>
      <w:pPr>
        <w:spacing w:after="240"/>
        <w:jc w:val="both"/>
      </w:pPr>
      <w:r>
        <w:rPr>
          <w:rFonts w:ascii="Times New Roman" w:hAnsi="Times New Roman"/>
          <w:b/>
          <w:sz w:val="20"/>
        </w:rPr>
        <w:t xml:space="preserve">Response: </w:t>
      </w:r>
      <w:r>
        <w:rPr>
          <w:rFonts w:ascii="Times New Roman" w:hAnsi="Times New Roman"/>
          <w:sz w:val="20"/>
        </w:rPr>
        <w:t>The caption for Supplementary Figure S5 has been corrected to indicate A = {0, 20, 40, 60}, matching the actual figure panels.</w:t>
      </w:r>
    </w:p>
    <w:p>
      <w:pPr>
        <w:pStyle w:val="Heading1"/>
      </w:pPr>
      <w:r>
        <w:rPr>
          <w:rFonts w:ascii="Times New Roman" w:hAnsi="Times New Roman"/>
          <w:color w:val="000000"/>
        </w:rPr>
        <w:t>Reviewer 2</w:t>
      </w:r>
    </w:p>
    <w:p>
      <w:pPr>
        <w:spacing w:after="80"/>
        <w:ind w:left="567"/>
        <w:jc w:val="both"/>
      </w:pPr>
      <w:r>
        <w:rPr>
          <w:rFonts w:ascii="Times New Roman" w:hAnsi="Times New Roman"/>
          <w:b/>
          <w:i/>
          <w:sz w:val="20"/>
        </w:rPr>
        <w:t xml:space="preserve">Comment: </w:t>
      </w:r>
      <w:r>
        <w:rPr>
          <w:rFonts w:ascii="Times New Roman" w:hAnsi="Times New Roman"/>
          <w:i/>
          <w:sz w:val="20"/>
        </w:rPr>
        <w:t>The starting point of this work is the fact that a set of chaotic systems can synchronize even in the absence of mutual coupling when driven by a common external signal, for example, through the modulation of one of their control parameters. This is a well-known phenomenon, characterized in the classical literature on chaotic systems. [...] I think this work should be mentioned, in particular for its section 5: Boccaletti, S., Kurths, J., Osipov, G., Valladares, D. L., &amp; Zhou, C. S. (2002). The synchronization of chaotic systems. Physics Reports, 366(1–2), 1–101. It goes without saying that it would be appreciated, at least in the continuation of this research line, to show the implications of the concept of synchronization in a simulation including some concrete aspect of biochemistry or biophysics.</w:t>
      </w:r>
    </w:p>
    <w:p>
      <w:pPr>
        <w:spacing w:after="240"/>
        <w:jc w:val="both"/>
      </w:pPr>
      <w:r>
        <w:rPr>
          <w:rFonts w:ascii="Times New Roman" w:hAnsi="Times New Roman"/>
          <w:b/>
          <w:sz w:val="20"/>
        </w:rPr>
        <w:t xml:space="preserve">Response: </w:t>
      </w:r>
      <w:r>
        <w:rPr>
          <w:rFonts w:ascii="Times New Roman" w:hAnsi="Times New Roman"/>
          <w:sz w:val="20"/>
        </w:rPr>
        <w:t>We thank the reviewer for this important reference. We have made two additions to the manuscript:</w:t>
        <w:br/>
        <w:br/>
        <w:t>(a) We now explicitly acknowledge in the Introduction that the synchronization of chaotic systems under common external forcing is a well-characterized phenomenon in nonlinear dynamics, citing Boccaletti et al. (2002). The relevant passage notes that “even without mutual coupling, a shared driving signal can entrain individually chaotic units into coherent collective behavior.”</w:t>
        <w:br/>
        <w:br/>
        <w:t>(b) We have added a future-direction statement at the end of the Discussion noting that a natural extension of this work would be to test these principles in models incorporating more realistic prebiotic chemistry or biophysics — for example, protocell populations with explicit metabolic kinetics under cyclic environmental forcing — to determine whether the informational signatures identified here persist in more detailed chemical settings.</w:t>
      </w:r>
    </w:p>
    <w:p>
      <w:pPr>
        <w:pStyle w:val="Heading1"/>
      </w:pPr>
      <w:r>
        <w:rPr>
          <w:rFonts w:ascii="Times New Roman" w:hAnsi="Times New Roman"/>
          <w:color w:val="000000"/>
        </w:rPr>
        <w:t>Reviewer 3</w:t>
      </w:r>
    </w:p>
    <w:p>
      <w:pPr>
        <w:spacing w:after="80"/>
        <w:ind w:left="567"/>
        <w:jc w:val="both"/>
      </w:pPr>
      <w:r>
        <w:rPr>
          <w:rFonts w:ascii="Times New Roman" w:hAnsi="Times New Roman"/>
          <w:b/>
          <w:i/>
          <w:sz w:val="20"/>
        </w:rPr>
        <w:t xml:space="preserve">Comment: </w:t>
      </w:r>
      <w:r>
        <w:rPr>
          <w:rFonts w:ascii="Times New Roman" w:hAnsi="Times New Roman"/>
          <w:i/>
          <w:sz w:val="20"/>
        </w:rPr>
        <w:t>One minor suggestion would be to sharpen, perhaps in the Discussion, the distinction between externally imposed boundary conditions and internally generated coordination, to further preempt potential misunderstandings regarding "top-down" causation.</w:t>
      </w:r>
    </w:p>
    <w:p>
      <w:pPr>
        <w:spacing w:after="240"/>
        <w:jc w:val="both"/>
      </w:pPr>
      <w:r>
        <w:rPr>
          <w:rFonts w:ascii="Times New Roman" w:hAnsi="Times New Roman"/>
          <w:b/>
          <w:sz w:val="20"/>
        </w:rPr>
        <w:t xml:space="preserve">Response: </w:t>
      </w:r>
      <w:r>
        <w:rPr>
          <w:rFonts w:ascii="Times New Roman" w:hAnsi="Times New Roman"/>
          <w:sz w:val="20"/>
        </w:rPr>
        <w:t>We have added a new paragraph in the Discussion that explicitly distinguishes two modes of coordination often conflated under the umbrella of "top-down causation": (i) externally imposed boundary conditions — such as the modulated carrying capacity Kₙ in our model — which constrain all units from outside the system, and (ii) internally generated coordination arising from coupling among units themselves (e.g., autocatalytic feedback, cross-catalysis, or metabolic networks). The paragraph explains that our model demonstrates how external boundary conditions alone can produce the informational signatures of top-down influence, including a directional TE asymmetry and inter-unit predictability. The CTE analysis refines this interpretation by separating the component attributable to the external driver from the smaller residual component generated by nonlinear aggregation within the population. This clarifies that the ‘top-down’ signal in our model is not a claim of autonomous macroscopic agency, but rather a demonstration that externally structured environments can generate the informational preconditions from which internally coordinated systems may subsequently emerge.</w:t>
      </w:r>
    </w:p>
    <w:sectPr w:rsidR="00FC693F" w:rsidRPr="0006063C" w:rsidSect="00034616">
      <w:pgSz w:w="12240" w:h="15840"/>
      <w:pgMar w:top="1151" w:right="1440" w:bottom="11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