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0"/>
          <w:szCs w:val="40"/>
        </w:rPr>
        <w:t xml:space="preserve">Documentation Technique</w:t>
      </w:r>
    </w:p>
    <w:p>
      <w:pPr>
        <w:spacing w:after="80" w:before="0"/>
        <w:jc w:val="center"/>
      </w:pPr>
      <w:r>
        <w:rPr>
          <w:rFonts w:ascii="Arial" w:cs="Arial" w:eastAsia="Arial" w:hAnsi="Arial"/>
          <w:b/>
          <w:bCs/>
          <w:color w:val="2E75B6"/>
          <w:sz w:val="28"/>
          <w:szCs w:val="28"/>
        </w:rPr>
        <w:t xml:space="preserve">Étape 1 — Data Acquisition, Préparation &amp; Contrôle Qualité</w:t>
      </w:r>
    </w:p>
    <w:p>
      <w:pPr>
        <w:spacing w:after="80" w:before="0"/>
        <w:jc w:val="center"/>
      </w:pPr>
      <w:r>
        <w:rPr>
          <w:rFonts w:ascii="Courier New" w:cs="Courier New" w:eastAsia="Courier New" w:hAnsi="Courier New"/>
          <w:color w:val="C0392B"/>
          <w:sz w:val="22"/>
          <w:szCs w:val="22"/>
        </w:rPr>
        <w:t xml:space="preserve">etape1_preprocessing.py</w:t>
      </w:r>
    </w:p>
    <w:p>
      <w:pPr>
        <w:spacing w:after="480" w:before="0"/>
        <w:jc w:val="center"/>
      </w:pPr>
      <w:r>
        <w:rPr>
          <w:rFonts w:ascii="Arial" w:cs="Arial" w:eastAsia="Arial" w:hAnsi="Arial"/>
          <w:i/>
          <w:iCs/>
          <w:color w:val="555555"/>
          <w:sz w:val="20"/>
          <w:szCs w:val="20"/>
        </w:rPr>
        <w:t xml:space="preserve">Projet : Génération de données synthétiques de sinistres pour la tarification en assurance</w:t>
      </w: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1. Contexte et objectif</w:t>
      </w:r>
    </w:p>
    <w:p>
      <w:pPr>
        <w:spacing w:after="80" w:before="80"/>
      </w:pPr>
      <w:r>
        <w:rPr>
          <w:rFonts w:ascii="Arial" w:cs="Arial" w:eastAsia="Arial" w:hAnsi="Arial"/>
          <w:sz w:val="22"/>
          <w:szCs w:val="22"/>
        </w:rPr>
        <w:t xml:space="preserve">L'étape 1 constitue le fondement du pipeline complet. Elle couvre l'acquisition, la préparation, la transformation, le contrôle qualité et le nettoyage des données brutes du dataset Insurance Claims (58 592 polices, 41 variables), conformément aux consignes du projet.</w:t>
      </w:r>
    </w:p>
    <w:p>
      <w:pPr>
        <w:spacing w:after="80" w:before="80"/>
      </w:pPr>
      <w:r>
        <w:rPr>
          <w:rFonts w:ascii="Arial" w:cs="Arial" w:eastAsia="Arial" w:hAnsi="Arial"/>
          <w:sz w:val="22"/>
          <w:szCs w:val="22"/>
        </w:rPr>
        <w:t xml:space="preserve">Le dataset présente un déséquilibre de classes sévère : seulement 6,4% des polices ont généré un sinistre (3 748 sur 58 592), soit un ratio de 1 pour 14. C'est ce constat qui motive l'ensemble du projet de génération synthétique.</w:t>
      </w:r>
    </w:p>
    <w:p>
      <w:pPr>
        <w:spacing w:after="80" w:before="80"/>
      </w:pPr>
    </w:p>
    <w:p>
      <w:pPr>
        <w:pStyle w:val="Heading1"/>
        <w:spacing w:after="160" w:before="320"/>
      </w:pPr>
      <w:r>
        <w:rPr>
          <w:rFonts w:ascii="Arial" w:cs="Arial" w:eastAsia="Arial" w:hAnsi="Arial"/>
          <w:b/>
          <w:bCs/>
          <w:color w:val="1F4E79"/>
          <w:sz w:val="32"/>
          <w:szCs w:val="32"/>
        </w:rPr>
        <w:t xml:space="preserve">2. Structure du script</w:t>
      </w:r>
    </w:p>
    <w:p>
      <w:pPr>
        <w:spacing w:after="80" w:before="80"/>
      </w:pPr>
      <w:r>
        <w:rPr>
          <w:rFonts w:ascii="Arial" w:cs="Arial" w:eastAsia="Arial" w:hAnsi="Arial"/>
          <w:sz w:val="22"/>
          <w:szCs w:val="22"/>
        </w:rPr>
        <w:t xml:space="preserve">Le script est organisé en 9 blocs séquentiels numérotés :</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26"/>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Bloc</w:t>
            </w:r>
          </w:p>
        </w:tc>
        <w:tc>
          <w:tcPr>
            <w:tcW w:type="dxa" w:w="6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Acquisition</w:t>
            </w:r>
          </w:p>
        </w:tc>
        <w:tc>
          <w:tcPr>
            <w:tcW w:type="dxa" w:w="60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Chargement du CSV brut avec pandas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Contrôle qualité</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Doublons, valeurs manquantes, plages, cohérence métier, outliers</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Préparation</w:t>
            </w:r>
          </w:p>
        </w:tc>
        <w:tc>
          <w:tcPr>
            <w:tcW w:type="dxa" w:w="60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Suppression de policy_id (identifiant non informatif)</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Transformation</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Parsing regex de max_torque et max_power → 4 colonnes numériques</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Transformation</w:t>
            </w:r>
          </w:p>
        </w:tc>
        <w:tc>
          <w:tcPr>
            <w:tcW w:type="dxa" w:w="60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Encodage Yes/No → 0/1 sur 17 colonnes binaires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Transformation</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One-hot encoding sur 8 variables catégorielles nominales</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Analyse</w:t>
            </w:r>
          </w:p>
        </w:tc>
        <w:tc>
          <w:tcPr>
            <w:tcW w:type="dxa" w:w="60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Vérification et affichage du déséquilibre des classes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Transformation</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Normalisation StandardScaler sur 16 colonnes numériques</w:t>
            </w:r>
          </w:p>
        </w:tc>
      </w:tr>
      <w:tr>
        <w:tc>
          <w:tcPr>
            <w:tcW w:type="dxa" w:w="6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Sauvegarde</w:t>
            </w:r>
          </w:p>
        </w:tc>
        <w:tc>
          <w:tcPr>
            <w:tcW w:type="dxa" w:w="60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Export de 2 fichiers CSV dans outputs/</w:t>
            </w:r>
          </w:p>
        </w:tc>
      </w:tr>
    </w:tbl>
    <w:p>
      <w:pPr>
        <w:spacing w:after="80" w:before="80"/>
      </w:pPr>
    </w:p>
    <w:p>
      <w:pPr>
        <w:pStyle w:val="Heading1"/>
        <w:spacing w:after="160" w:before="320"/>
      </w:pPr>
      <w:r>
        <w:rPr>
          <w:rFonts w:ascii="Arial" w:cs="Arial" w:eastAsia="Arial" w:hAnsi="Arial"/>
          <w:b/>
          <w:bCs/>
          <w:color w:val="1F4E79"/>
          <w:sz w:val="32"/>
          <w:szCs w:val="32"/>
        </w:rPr>
        <w:t xml:space="preserve">3. Détail des transformations</w:t>
      </w:r>
    </w:p>
    <w:p>
      <w:pPr>
        <w:pStyle w:val="Heading2"/>
        <w:spacing w:after="120" w:before="240"/>
      </w:pPr>
      <w:r>
        <w:rPr>
          <w:rFonts w:ascii="Arial" w:cs="Arial" w:eastAsia="Arial" w:hAnsi="Arial"/>
          <w:b/>
          <w:bCs/>
          <w:color w:val="2E75B6"/>
          <w:sz w:val="26"/>
          <w:szCs w:val="26"/>
        </w:rPr>
        <w:t xml:space="preserve">3.1 Acquisition — Chargement des données</w:t>
      </w:r>
    </w:p>
    <w:p>
      <w:pPr>
        <w:spacing w:after="80" w:before="80"/>
      </w:pPr>
      <w:r>
        <w:rPr>
          <w:rFonts w:ascii="Arial" w:cs="Arial" w:eastAsia="Arial" w:hAnsi="Arial"/>
          <w:sz w:val="22"/>
          <w:szCs w:val="22"/>
        </w:rPr>
        <w:t xml:space="preserve">Lecture du fichier source avec séparateur virgule via pandas.read_csv(). Vérification immédiate de l'absence de valeurs manquantes.</w:t>
      </w:r>
    </w:p>
    <w:p>
      <w:pPr>
        <w:spacing w:after="60" w:before="60"/>
        <w:ind w:left="720"/>
      </w:pPr>
      <w:r>
        <w:rPr>
          <w:rFonts w:ascii="Courier New" w:cs="Courier New" w:eastAsia="Courier New" w:hAnsi="Courier New"/>
          <w:color w:val="C0392B"/>
          <w:sz w:val="20"/>
          <w:szCs w:val="20"/>
        </w:rPr>
        <w:t xml:space="preserve">df_raw = pd.read_csv('../data/Insurance claims data.csv', sep=',')</w:t>
      </w:r>
    </w:p>
    <w:p>
      <w:pPr>
        <w:pStyle w:val="ListParagraph"/>
        <w:numPr>
          <w:ilvl w:val="0"/>
          <w:numId w:val="2"/>
        </w:numPr>
        <w:spacing w:after="40" w:before="40"/>
      </w:pPr>
      <w:r>
        <w:rPr>
          <w:rFonts w:ascii="Arial" w:cs="Arial" w:eastAsia="Arial" w:hAnsi="Arial"/>
          <w:sz w:val="22"/>
          <w:szCs w:val="22"/>
        </w:rPr>
        <w:t xml:space="preserve">58 592 lignes × 41 colonnes</w:t>
      </w:r>
    </w:p>
    <w:p>
      <w:pPr>
        <w:pStyle w:val="ListParagraph"/>
        <w:numPr>
          <w:ilvl w:val="0"/>
          <w:numId w:val="2"/>
        </w:numPr>
        <w:spacing w:after="40" w:before="40"/>
      </w:pPr>
      <w:r>
        <w:rPr>
          <w:rFonts w:ascii="Arial" w:cs="Arial" w:eastAsia="Arial" w:hAnsi="Arial"/>
          <w:sz w:val="22"/>
          <w:szCs w:val="22"/>
        </w:rPr>
        <w:t xml:space="preserve">0 valeur manquante — aucune imputation nécessaire</w:t>
      </w:r>
    </w:p>
    <w:p>
      <w:pPr>
        <w:spacing w:after="80" w:before="80"/>
      </w:pPr>
    </w:p>
    <w:p>
      <w:pPr>
        <w:pStyle w:val="Heading2"/>
        <w:spacing w:after="120" w:before="240"/>
      </w:pPr>
      <w:r>
        <w:rPr>
          <w:rFonts w:ascii="Arial" w:cs="Arial" w:eastAsia="Arial" w:hAnsi="Arial"/>
          <w:b/>
          <w:bCs/>
          <w:color w:val="2E75B6"/>
          <w:sz w:val="26"/>
          <w:szCs w:val="26"/>
        </w:rPr>
        <w:t xml:space="preserve">3.2 Contrôle qualité</w:t>
      </w:r>
    </w:p>
    <w:p>
      <w:pPr>
        <w:spacing w:after="80" w:before="80"/>
      </w:pPr>
      <w:r>
        <w:rPr>
          <w:rFonts w:ascii="Arial" w:cs="Arial" w:eastAsia="Arial" w:hAnsi="Arial"/>
          <w:sz w:val="22"/>
          <w:szCs w:val="22"/>
        </w:rPr>
        <w:t xml:space="preserve">Cette étape est nouvelle par rapport à la version initiale. Elle garantit la fiabilité des données avant toute transformation.</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Vérification</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Résultat</w:t>
            </w:r>
          </w:p>
        </w:tc>
        <w:tc>
          <w:tcPr>
            <w:tcW w:type="dxa" w:w="3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Doublons</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 doublon détecté</w:t>
            </w:r>
          </w:p>
        </w:tc>
        <w:tc>
          <w:tcPr>
            <w:tcW w:type="dxa" w:w="3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Aucune suppression nécessaire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Valeurs manquantes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valeur manquante</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Aucune imputation nécessaire</w:t>
            </w:r>
          </w:p>
        </w:tc>
      </w:tr>
      <w:tr>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customer_age</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[35 – 75] ans</w:t>
            </w:r>
          </w:p>
        </w:tc>
        <w:tc>
          <w:tcPr>
            <w:tcW w:type="dxa" w:w="3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Cohérent — aucune anomalie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vehicle_age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 – 20.0] ans</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Cohérent — aucune anomalie</w:t>
            </w:r>
          </w:p>
        </w:tc>
      </w:tr>
      <w:tr>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subscription_length</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[0.0 – 14.0] ans</w:t>
            </w:r>
          </w:p>
        </w:tc>
        <w:tc>
          <w:tcPr>
            <w:tcW w:type="dxa" w:w="3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Cohérent — aucune anomalie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region_density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[290 – 73 430]</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Cohérent — densités urbaines réelles</w:t>
            </w:r>
          </w:p>
        </w:tc>
      </w:tr>
      <w:tr>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ncap_rating</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 – 5]</w:t>
            </w:r>
          </w:p>
        </w:tc>
        <w:tc>
          <w:tcPr>
            <w:tcW w:type="dxa" w:w="3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Cohérent — notation sécurité standard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claim_status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 1} uniquement</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Assertion OK</w:t>
            </w:r>
          </w:p>
        </w:tc>
      </w:tr>
      <w:tr>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Outliers customer_age</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282 (0.5%)</w:t>
            </w:r>
          </w:p>
        </w:tc>
        <w:tc>
          <w:tcPr>
            <w:tcW w:type="dxa" w:w="3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Conservés — cas réels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Outliers vehicle_age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269 (0.5%)</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Conservés — cas réels</w:t>
            </w:r>
          </w:p>
        </w:tc>
      </w:tr>
      <w:tr>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Outliers region_density</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3 647 (6.2%)</w:t>
            </w:r>
          </w:p>
        </w:tc>
        <w:tc>
          <w:tcPr>
            <w:tcW w:type="dxa" w:w="3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Conservés — densités urbaines extrêmes réelles</w:t>
            </w:r>
          </w:p>
        </w:tc>
      </w:tr>
    </w:tbl>
    <w:p>
      <w:pPr>
        <w:spacing w:after="80" w:before="80"/>
      </w:pPr>
    </w:p>
    <w:p>
      <w:pPr>
        <w:spacing w:after="80" w:before="80"/>
      </w:pPr>
      <w:r>
        <w:rPr>
          <w:rFonts w:ascii="Arial" w:cs="Arial" w:eastAsia="Arial" w:hAnsi="Arial"/>
          <w:i/>
          <w:iCs/>
          <w:sz w:val="22"/>
          <w:szCs w:val="22"/>
        </w:rPr>
        <w:t xml:space="preserve">Justification du choix de conserver les outliers : en assurance, les valeurs extrêmes (véhicules très anciens, zones à très forte densité) sont des cas réels et pertinents pour la modélisation actuarielle. Les supprimer biaiserait le modèle vers les profils moyens et dégraderait sa capacité à tarifer les risques atypiques.</w:t>
      </w:r>
    </w:p>
    <w:p>
      <w:pPr>
        <w:spacing w:after="80" w:before="80"/>
      </w:pPr>
    </w:p>
    <w:p>
      <w:pPr>
        <w:pStyle w:val="Heading2"/>
        <w:spacing w:after="120" w:before="240"/>
      </w:pPr>
      <w:r>
        <w:rPr>
          <w:rFonts w:ascii="Arial" w:cs="Arial" w:eastAsia="Arial" w:hAnsi="Arial"/>
          <w:b/>
          <w:bCs/>
          <w:color w:val="2E75B6"/>
          <w:sz w:val="26"/>
          <w:szCs w:val="26"/>
        </w:rPr>
        <w:t xml:space="preserve">3.3 Préparation — Suppression de policy_id</w:t>
      </w:r>
    </w:p>
    <w:p>
      <w:pPr>
        <w:spacing w:after="80" w:before="80"/>
      </w:pPr>
      <w:r>
        <w:rPr>
          <w:rFonts w:ascii="Arial" w:cs="Arial" w:eastAsia="Arial" w:hAnsi="Arial"/>
          <w:sz w:val="22"/>
          <w:szCs w:val="22"/>
        </w:rPr>
        <w:t xml:space="preserve">L'identifiant unique de chaque police ne contient aucune information prédictive sur le risque sinistre. Le conserver introduirait du surapprentissage sur l'identifiant et poserait un problème de confidentialité des données.</w:t>
      </w:r>
    </w:p>
    <w:p>
      <w:pPr>
        <w:spacing w:after="60" w:before="60"/>
        <w:ind w:left="720"/>
      </w:pPr>
      <w:r>
        <w:rPr>
          <w:rFonts w:ascii="Courier New" w:cs="Courier New" w:eastAsia="Courier New" w:hAnsi="Courier New"/>
          <w:color w:val="C0392B"/>
          <w:sz w:val="20"/>
          <w:szCs w:val="20"/>
        </w:rPr>
        <w:t xml:space="preserve">df = df_raw.drop(columns=['policy_id'])</w:t>
      </w:r>
    </w:p>
    <w:p>
      <w:pPr>
        <w:pStyle w:val="ListParagraph"/>
        <w:numPr>
          <w:ilvl w:val="0"/>
          <w:numId w:val="2"/>
        </w:numPr>
        <w:spacing w:after="40" w:before="40"/>
      </w:pPr>
      <w:r>
        <w:rPr>
          <w:rFonts w:ascii="Arial" w:cs="Arial" w:eastAsia="Arial" w:hAnsi="Arial"/>
          <w:sz w:val="22"/>
          <w:szCs w:val="22"/>
        </w:rPr>
        <w:t xml:space="preserve">40 colonnes restantes après suppression</w:t>
      </w:r>
    </w:p>
    <w:p>
      <w:pPr>
        <w:spacing w:after="80" w:before="80"/>
      </w:pPr>
    </w:p>
    <w:p>
      <w:pPr>
        <w:pStyle w:val="Heading2"/>
        <w:spacing w:after="120" w:before="240"/>
      </w:pPr>
      <w:r>
        <w:rPr>
          <w:rFonts w:ascii="Arial" w:cs="Arial" w:eastAsia="Arial" w:hAnsi="Arial"/>
          <w:b/>
          <w:bCs/>
          <w:color w:val="2E75B6"/>
          <w:sz w:val="26"/>
          <w:szCs w:val="26"/>
        </w:rPr>
        <w:t xml:space="preserve">3.4 Transformation — Parsing de max_torque et max_power</w:t>
      </w:r>
    </w:p>
    <w:p>
      <w:pPr>
        <w:spacing w:after="80" w:before="80"/>
      </w:pPr>
      <w:r>
        <w:rPr>
          <w:rFonts w:ascii="Arial" w:cs="Arial" w:eastAsia="Arial" w:hAnsi="Arial"/>
          <w:sz w:val="22"/>
          <w:szCs w:val="22"/>
        </w:rPr>
        <w:t xml:space="preserve">Ces deux colonnes arrivent sous forme de chaînes de caractères non exploitables par un modèle :</w:t>
      </w:r>
    </w:p>
    <w:p>
      <w:pPr>
        <w:pStyle w:val="ListParagraph"/>
        <w:numPr>
          <w:ilvl w:val="0"/>
          <w:numId w:val="2"/>
        </w:numPr>
        <w:spacing w:after="40" w:before="40"/>
      </w:pPr>
      <w:r>
        <w:rPr>
          <w:rFonts w:ascii="Arial" w:cs="Arial" w:eastAsia="Arial" w:hAnsi="Arial"/>
          <w:sz w:val="22"/>
          <w:szCs w:val="22"/>
        </w:rPr>
        <w:t xml:space="preserve">max_torque : format "250Nm@2750rpm"</w:t>
      </w:r>
    </w:p>
    <w:p>
      <w:pPr>
        <w:pStyle w:val="ListParagraph"/>
        <w:numPr>
          <w:ilvl w:val="0"/>
          <w:numId w:val="2"/>
        </w:numPr>
        <w:spacing w:after="40" w:before="40"/>
      </w:pPr>
      <w:r>
        <w:rPr>
          <w:rFonts w:ascii="Arial" w:cs="Arial" w:eastAsia="Arial" w:hAnsi="Arial"/>
          <w:sz w:val="22"/>
          <w:szCs w:val="22"/>
        </w:rPr>
        <w:t xml:space="preserve">max_power : format "113.45bhp@4000rpm"</w:t>
      </w:r>
    </w:p>
    <w:p>
      <w:pPr>
        <w:spacing w:after="80" w:before="80"/>
      </w:pPr>
      <w:r>
        <w:rPr>
          <w:rFonts w:ascii="Arial" w:cs="Arial" w:eastAsia="Arial" w:hAnsi="Arial"/>
          <w:sz w:val="22"/>
          <w:szCs w:val="22"/>
        </w:rPr>
        <w:t xml:space="preserve">Des expressions régulières (regex) extraient les valeurs numériques, produisant 4 nouvelles colonnes :</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Colonne créée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Unité</w:t>
            </w:r>
          </w:p>
        </w:tc>
        <w:tc>
          <w:tcPr>
            <w:tcW w:type="dxa" w:w="4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Signification</w:t>
            </w:r>
          </w:p>
        </w:tc>
      </w:tr>
      <w:tr>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torque_nm</w:t>
            </w:r>
          </w:p>
        </w:tc>
        <w:tc>
          <w:tcPr>
            <w:tcW w:type="dxa" w:w="1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Nm</w:t>
            </w:r>
          </w:p>
        </w:tc>
        <w:tc>
          <w:tcPr>
            <w:tcW w:type="dxa" w:w="4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Couple moteur en Newton-mètres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torque_rpm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rpm</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Régime auquel le couple est atteint</w:t>
            </w:r>
          </w:p>
        </w:tc>
      </w:tr>
      <w:tr>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power_bhp</w:t>
            </w:r>
          </w:p>
        </w:tc>
        <w:tc>
          <w:tcPr>
            <w:tcW w:type="dxa" w:w="1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bhp</w:t>
            </w:r>
          </w:p>
        </w:tc>
        <w:tc>
          <w:tcPr>
            <w:tcW w:type="dxa" w:w="4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Puissance en chevaux-vapeur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power_rpm</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rpm</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Régime auquel la puissance est atteinte</w:t>
            </w:r>
          </w:p>
        </w:tc>
      </w:tr>
    </w:tbl>
    <w:p>
      <w:pPr>
        <w:spacing w:after="80" w:before="80"/>
      </w:pPr>
    </w:p>
    <w:p>
      <w:pPr>
        <w:spacing w:after="80" w:before="80"/>
      </w:pPr>
      <w:r>
        <w:rPr>
          <w:rFonts w:ascii="Arial" w:cs="Arial" w:eastAsia="Arial" w:hAnsi="Arial"/>
          <w:sz w:val="22"/>
          <w:szCs w:val="22"/>
        </w:rPr>
        <w:t xml:space="preserve">Contrôle post-parsing : 0 NaN produit sur les 58 592 lignes — le format est homogène dans tout le dataset.</w:t>
      </w:r>
    </w:p>
    <w:p>
      <w:pPr>
        <w:spacing w:after="80" w:before="80"/>
      </w:pPr>
    </w:p>
    <w:p>
      <w:pPr>
        <w:pStyle w:val="Heading2"/>
        <w:spacing w:after="120" w:before="240"/>
      </w:pPr>
      <w:r>
        <w:rPr>
          <w:rFonts w:ascii="Arial" w:cs="Arial" w:eastAsia="Arial" w:hAnsi="Arial"/>
          <w:b/>
          <w:bCs/>
          <w:color w:val="2E75B6"/>
          <w:sz w:val="26"/>
          <w:szCs w:val="26"/>
        </w:rPr>
        <w:t xml:space="preserve">3.5 Transformation — Encodage binaire Yes/No → 0/1</w:t>
      </w:r>
    </w:p>
    <w:p>
      <w:pPr>
        <w:spacing w:after="80" w:before="80"/>
      </w:pPr>
      <w:r>
        <w:rPr>
          <w:rFonts w:ascii="Arial" w:cs="Arial" w:eastAsia="Arial" w:hAnsi="Arial"/>
          <w:sz w:val="22"/>
          <w:szCs w:val="22"/>
        </w:rPr>
        <w:t xml:space="preserve">17 colonnes représentent des équipements de sécurité en texte ("Yes" / "No"). Elles sont converties en entiers 0 et 1 via un mapping explicite. Tout algorithme ML/DL attend des valeurs numériques.</w:t>
      </w:r>
    </w:p>
    <w:p>
      <w:pPr>
        <w:spacing w:after="60" w:before="60"/>
        <w:ind w:left="720"/>
      </w:pPr>
      <w:r>
        <w:rPr>
          <w:rFonts w:ascii="Courier New" w:cs="Courier New" w:eastAsia="Courier New" w:hAnsi="Courier New"/>
          <w:color w:val="C0392B"/>
          <w:sz w:val="20"/>
          <w:szCs w:val="20"/>
        </w:rPr>
        <w:t xml:space="preserve">df[col] = df[col].map({'Yes': 1, 'No': 0})</w:t>
      </w:r>
    </w:p>
    <w:p>
      <w:pPr>
        <w:pStyle w:val="ListParagraph"/>
        <w:numPr>
          <w:ilvl w:val="0"/>
          <w:numId w:val="2"/>
        </w:numPr>
        <w:spacing w:after="40" w:before="40"/>
      </w:pPr>
      <w:r>
        <w:rPr>
          <w:rFonts w:ascii="Arial" w:cs="Arial" w:eastAsia="Arial" w:hAnsi="Arial"/>
          <w:sz w:val="22"/>
          <w:szCs w:val="22"/>
        </w:rPr>
        <w:t xml:space="preserve">is_esc, is_adjustable_steering, is_tpms, is_parking_sensors, is_parking_camera</w:t>
      </w:r>
    </w:p>
    <w:p>
      <w:pPr>
        <w:pStyle w:val="ListParagraph"/>
        <w:numPr>
          <w:ilvl w:val="0"/>
          <w:numId w:val="2"/>
        </w:numPr>
        <w:spacing w:after="40" w:before="40"/>
      </w:pPr>
      <w:r>
        <w:rPr>
          <w:rFonts w:ascii="Arial" w:cs="Arial" w:eastAsia="Arial" w:hAnsi="Arial"/>
          <w:sz w:val="22"/>
          <w:szCs w:val="22"/>
        </w:rPr>
        <w:t xml:space="preserve">is_front_fog_lights, is_rear_window_wiper, is_rear_window_washer, is_rear_window_defogger</w:t>
      </w:r>
    </w:p>
    <w:p>
      <w:pPr>
        <w:pStyle w:val="ListParagraph"/>
        <w:numPr>
          <w:ilvl w:val="0"/>
          <w:numId w:val="2"/>
        </w:numPr>
        <w:spacing w:after="40" w:before="40"/>
      </w:pPr>
      <w:r>
        <w:rPr>
          <w:rFonts w:ascii="Arial" w:cs="Arial" w:eastAsia="Arial" w:hAnsi="Arial"/>
          <w:sz w:val="22"/>
          <w:szCs w:val="22"/>
        </w:rPr>
        <w:t xml:space="preserve">is_brake_assist, is_power_door_locks, is_central_locking, is_power_steering</w:t>
      </w:r>
    </w:p>
    <w:p>
      <w:pPr>
        <w:pStyle w:val="ListParagraph"/>
        <w:numPr>
          <w:ilvl w:val="0"/>
          <w:numId w:val="2"/>
        </w:numPr>
        <w:spacing w:after="40" w:before="40"/>
      </w:pPr>
      <w:r>
        <w:rPr>
          <w:rFonts w:ascii="Arial" w:cs="Arial" w:eastAsia="Arial" w:hAnsi="Arial"/>
          <w:sz w:val="22"/>
          <w:szCs w:val="22"/>
        </w:rPr>
        <w:t xml:space="preserve">is_driver_seat_height_adjustable, is_day_night_rear_view_mirror, is_ecw, is_speed_alert</w:t>
      </w:r>
    </w:p>
    <w:p>
      <w:pPr>
        <w:spacing w:after="80" w:before="80"/>
      </w:pPr>
    </w:p>
    <w:p>
      <w:pPr>
        <w:pStyle w:val="Heading2"/>
        <w:spacing w:after="120" w:before="240"/>
      </w:pPr>
      <w:r>
        <w:rPr>
          <w:rFonts w:ascii="Arial" w:cs="Arial" w:eastAsia="Arial" w:hAnsi="Arial"/>
          <w:b/>
          <w:bCs/>
          <w:color w:val="2E75B6"/>
          <w:sz w:val="26"/>
          <w:szCs w:val="26"/>
        </w:rPr>
        <w:t xml:space="preserve">3.6 Transformation — One-hot encoding des variables catégorielles</w:t>
      </w:r>
    </w:p>
    <w:p>
      <w:pPr>
        <w:spacing w:after="80" w:before="80"/>
      </w:pPr>
      <w:r>
        <w:rPr>
          <w:rFonts w:ascii="Arial" w:cs="Arial" w:eastAsia="Arial" w:hAnsi="Arial"/>
          <w:sz w:val="22"/>
          <w:szCs w:val="22"/>
        </w:rPr>
        <w:t xml:space="preserve">8 colonnes catégorielles nominales ne peuvent pas être encodées en entiers séquentiels — cela créerait un ordre fictif interprété à tort par le modèle. Le one-hot encoding crée une colonne binaire par modalité.</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Exemples de modalités</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fuel_type</w:t>
            </w:r>
          </w:p>
        </w:tc>
        <w:tc>
          <w:tcPr>
            <w:tcW w:type="dxa" w:w="50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Diesel, Petrol, CNG</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transmission_type</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Automatic, Manual</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rear_brakes_type</w:t>
            </w:r>
          </w:p>
        </w:tc>
        <w:tc>
          <w:tcPr>
            <w:tcW w:type="dxa" w:w="50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Disc, Drum</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steering_type</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Power, Electric, Manual</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segment</w:t>
            </w:r>
          </w:p>
        </w:tc>
        <w:tc>
          <w:tcPr>
            <w:tcW w:type="dxa" w:w="50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A, B1, B2, C1, C2, Utility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engine_type</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Plusieurs types de motorisation</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model</w:t>
            </w:r>
          </w:p>
        </w:tc>
        <w:tc>
          <w:tcPr>
            <w:tcW w:type="dxa" w:w="50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Modèles de véhicules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region_code</w:t>
            </w:r>
          </w:p>
        </w:tc>
        <w:tc>
          <w:tcPr>
            <w:tcW w:type="dxa" w:w="5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Codes géographiques</w:t>
            </w:r>
          </w:p>
        </w:tc>
      </w:tr>
    </w:tbl>
    <w:p>
      <w:pPr>
        <w:spacing w:after="80" w:before="80"/>
      </w:pPr>
    </w:p>
    <w:p>
      <w:pPr>
        <w:spacing w:after="80" w:before="80"/>
      </w:pPr>
      <w:r>
        <w:rPr>
          <w:rFonts w:ascii="Arial" w:cs="Arial" w:eastAsia="Arial" w:hAnsi="Arial"/>
          <w:sz w:val="22"/>
          <w:szCs w:val="22"/>
        </w:rPr>
        <w:t xml:space="preserve">Résultat : passage de 40 colonnes à 94 colonnes après one-hot encoding.</w:t>
      </w:r>
    </w:p>
    <w:p>
      <w:pPr>
        <w:spacing w:after="80" w:before="80"/>
      </w:pPr>
    </w:p>
    <w:p>
      <w:pPr>
        <w:pStyle w:val="Heading2"/>
        <w:spacing w:after="120" w:before="240"/>
      </w:pPr>
      <w:r>
        <w:rPr>
          <w:rFonts w:ascii="Arial" w:cs="Arial" w:eastAsia="Arial" w:hAnsi="Arial"/>
          <w:b/>
          <w:bCs/>
          <w:color w:val="2E75B6"/>
          <w:sz w:val="26"/>
          <w:szCs w:val="26"/>
        </w:rPr>
        <w:t xml:space="preserve">3.7 Déséquilibre des classes</w:t>
      </w:r>
    </w:p>
    <w:p>
      <w:pPr>
        <w:spacing w:after="80" w:before="80"/>
      </w:pPr>
      <w:r>
        <w:rPr>
          <w:rFonts w:ascii="Arial" w:cs="Arial" w:eastAsia="Arial" w:hAnsi="Arial"/>
          <w:sz w:val="22"/>
          <w:szCs w:val="22"/>
        </w:rPr>
        <w:t xml:space="preserve">Observation centrale qui justifie l'ensemble du projet :</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Effectif</w:t>
            </w:r>
          </w:p>
        </w:tc>
        <w:tc>
          <w:tcPr>
            <w:tcW w:type="dxa" w:w="25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Proportion</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Sinistres (claim_status = 1)</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3 748</w:t>
            </w:r>
          </w:p>
        </w:tc>
        <w:tc>
          <w:tcPr>
            <w:tcW w:type="dxa" w:w="2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6,4%</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Non-sinistres (claim_status = 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54 844</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93,6%</w:t>
            </w:r>
          </w:p>
        </w:tc>
      </w:tr>
      <w:tr>
        <w:tc>
          <w:tcPr>
            <w:tcW w:type="dxa" w:w="4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Ratio d'imbalance</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1 pour 14</w:t>
            </w:r>
          </w:p>
        </w:tc>
        <w:tc>
          <w:tcPr>
            <w:tcW w:type="dxa" w:w="25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w:t>
            </w:r>
          </w:p>
        </w:tc>
      </w:tr>
    </w:tbl>
    <w:p>
      <w:pPr>
        <w:spacing w:after="80" w:before="80"/>
      </w:pPr>
    </w:p>
    <w:p>
      <w:pPr>
        <w:spacing w:after="80" w:before="80"/>
      </w:pPr>
      <w:r>
        <w:rPr>
          <w:rFonts w:ascii="Arial" w:cs="Arial" w:eastAsia="Arial" w:hAnsi="Arial"/>
          <w:sz w:val="22"/>
          <w:szCs w:val="22"/>
        </w:rPr>
        <w:t xml:space="preserve">Un modèle naïf prédisant systématiquement "pas de sinistre" atteindrait 93,6% de précision sans rien apprendre. La génération synthétique de l'étape 3 vise à rééquilibrer cet apprentissage.</w:t>
      </w:r>
    </w:p>
    <w:p>
      <w:pPr>
        <w:spacing w:after="80" w:before="80"/>
      </w:pPr>
    </w:p>
    <w:p>
      <w:pPr>
        <w:pStyle w:val="Heading2"/>
        <w:spacing w:after="120" w:before="240"/>
      </w:pPr>
      <w:r>
        <w:rPr>
          <w:rFonts w:ascii="Arial" w:cs="Arial" w:eastAsia="Arial" w:hAnsi="Arial"/>
          <w:b/>
          <w:bCs/>
          <w:color w:val="2E75B6"/>
          <w:sz w:val="26"/>
          <w:szCs w:val="26"/>
        </w:rPr>
        <w:t xml:space="preserve">3.8 Transformation — Normalisation StandardScaler</w:t>
      </w:r>
    </w:p>
    <w:p>
      <w:pPr>
        <w:spacing w:after="80" w:before="80"/>
      </w:pPr>
      <w:r>
        <w:rPr>
          <w:rFonts w:ascii="Arial" w:cs="Arial" w:eastAsia="Arial" w:hAnsi="Arial"/>
          <w:sz w:val="22"/>
          <w:szCs w:val="22"/>
        </w:rPr>
        <w:t xml:space="preserve">16 colonnes numériques continues présentent des échelles très hétérogènes. Sans normalisation, les variables à grande échelle dominent l'apprentissage.</w:t>
      </w:r>
    </w:p>
    <w:p>
      <w:pPr>
        <w:spacing w:after="80" w:before="80"/>
        <w:jc w:val="center"/>
      </w:pPr>
      <w:r>
        <w:rPr>
          <w:rFonts w:ascii="Courier New" w:cs="Courier New" w:eastAsia="Courier New" w:hAnsi="Courier New"/>
          <w:b/>
          <w:bCs/>
          <w:color w:val="1F4E79"/>
          <w:sz w:val="24"/>
          <w:szCs w:val="24"/>
        </w:rPr>
        <w:t xml:space="preserve">x' = (x − μ) / σ</w:t>
      </w:r>
    </w:p>
    <w:p>
      <w:pPr>
        <w:spacing w:after="80" w:before="80"/>
      </w:pPr>
      <w:r>
        <w:rPr>
          <w:rFonts w:ascii="Arial" w:cs="Arial" w:eastAsia="Arial" w:hAnsi="Arial"/>
          <w:sz w:val="22"/>
          <w:szCs w:val="22"/>
        </w:rPr>
        <w:t xml:space="preserve">Colonnes normalisées : subscription_length, vehicle_age, customer_age, region_density, displacement, cylinder, turning_radius, length, width, gross_weight, torque_nm, torque_rpm, power_bhp, power_rpm, airbags, ncap_rating.</w:t>
      </w:r>
    </w:p>
    <w:p>
      <w:pPr>
        <w:spacing w:after="80" w:before="80"/>
      </w:pPr>
      <w:r>
        <w:rPr>
          <w:rFonts w:ascii="Arial" w:cs="Arial" w:eastAsia="Arial" w:hAnsi="Arial"/>
          <w:sz w:val="22"/>
          <w:szCs w:val="22"/>
        </w:rPr>
        <w:t xml:space="preserve">Contrôle post-normalisation : mean ≈ 0.0000, std ≈ 1.0000 pour chaque colonne. claim_status non normalisé — reste en 0/1.</w:t>
      </w:r>
    </w:p>
    <w:p>
      <w:pPr>
        <w:spacing w:after="80" w:before="80"/>
      </w:pPr>
    </w:p>
    <w:p>
      <w:pPr>
        <w:pStyle w:val="Heading2"/>
        <w:spacing w:after="120" w:before="240"/>
      </w:pPr>
      <w:r>
        <w:rPr>
          <w:rFonts w:ascii="Arial" w:cs="Arial" w:eastAsia="Arial" w:hAnsi="Arial"/>
          <w:b/>
          <w:bCs/>
          <w:color w:val="2E75B6"/>
          <w:sz w:val="26"/>
          <w:szCs w:val="26"/>
        </w:rPr>
        <w:t xml:space="preserve">3.9 Sauvegarde — deux fichiers distincts</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Fichier</w:t>
            </w:r>
          </w:p>
        </w:tc>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Contenu</w:t>
            </w:r>
          </w:p>
        </w:tc>
        <w:tc>
          <w:tcPr>
            <w:tcW w:type="dxa" w:w="3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data_encoded.csv</w:t>
            </w:r>
          </w:p>
        </w:tc>
        <w:tc>
          <w:tcPr>
            <w:tcW w:type="dxa" w:w="30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Données encodées, échelle naturelle</w:t>
            </w:r>
          </w:p>
        </w:tc>
        <w:tc>
          <w:tcPr>
            <w:tcW w:type="dxa" w:w="30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EDA (Étape 2) + entraînement CTGAN/TVAE (Étape 3)</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data_preprocessed.csv</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Données normalisées (StandardScaler)</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Classifieur downstream XGBoost/GLM (Étapes 3-4)</w:t>
            </w:r>
          </w:p>
        </w:tc>
      </w:tr>
    </w:tbl>
    <w:p>
      <w:pPr>
        <w:spacing w:after="80" w:before="80"/>
      </w:pP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4. Résumé des transformations</w:t>
      </w:r>
    </w:p>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rPr>
          <w:tblHeader/>
        </w:trPr>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Métrique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Avant</w:t>
            </w:r>
          </w:p>
        </w:tc>
        <w:tc>
          <w:tcPr>
            <w:tcW w:type="dxa" w:w="3026"/>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Après</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Nombre de colonnes</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41</w:t>
            </w:r>
          </w:p>
        </w:tc>
        <w:tc>
          <w:tcPr>
            <w:tcW w:type="dxa" w:w="30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94</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Doublons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Valeurs manquantes</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w:t>
            </w:r>
          </w:p>
        </w:tc>
        <w:tc>
          <w:tcPr>
            <w:tcW w:type="dxa" w:w="30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0</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Variables textuelles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Variables numériques continues</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13</w:t>
            </w:r>
          </w:p>
        </w:tc>
        <w:tc>
          <w:tcPr>
            <w:tcW w:type="dxa" w:w="30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16 (normalisées)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Variables binaires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17 (Yes/No)</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17 (0/1)</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Variables one-hot</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8 catégorielles</w:t>
            </w:r>
          </w:p>
        </w:tc>
        <w:tc>
          <w:tcPr>
            <w:tcW w:type="dxa" w:w="30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~61 colonnes binaires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Outliers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3 998 identifiés</w:t>
            </w:r>
          </w:p>
        </w:tc>
        <w:tc>
          <w:tcPr>
            <w:tcW w:type="dxa" w:w="3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Conservés (justification actuarielle)</w:t>
            </w:r>
          </w:p>
        </w:tc>
      </w:tr>
      <w:tr>
        <w:tc>
          <w:tcPr>
            <w:tcW w:type="dxa" w:w="3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Sinistres (classe 1)</w:t>
            </w:r>
          </w:p>
        </w:tc>
        <w:tc>
          <w:tcPr>
            <w:tcW w:type="dxa" w:w="2500"/>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3 748 (6,4%)</w:t>
            </w:r>
          </w:p>
        </w:tc>
        <w:tc>
          <w:tcPr>
            <w:tcW w:type="dxa" w:w="3026"/>
            <w:tcBorders>
              <w:top w:val="single" w:color="CCCCCC" w:sz="1"/>
              <w:left w:val="single" w:color="CCCCCC" w:sz="1"/>
              <w:bottom w:val="single" w:color="CCCCCC" w:sz="1"/>
              <w:right w:val="single" w:color="CCCCCC" w:sz="1"/>
            </w:tcBorders>
            <w:shd w:fill="F5F8FC" w:val="clear"/>
            <w:tcMar>
              <w:top w:type="dxa" w:w="60"/>
              <w:left w:type="dxa" w:w="120"/>
              <w:bottom w:type="dxa" w:w="60"/>
              <w:right w:type="dxa" w:w="120"/>
            </w:tcMar>
          </w:tcPr>
          <w:p>
            <w:r>
              <w:rPr>
                <w:rFonts w:ascii="Arial" w:cs="Arial" w:eastAsia="Arial" w:hAnsi="Arial"/>
                <w:sz w:val="20"/>
                <w:szCs w:val="20"/>
              </w:rPr>
              <w:t xml:space="preserve">3 748 (6,4%) — inchangé</w:t>
            </w:r>
          </w:p>
        </w:tc>
      </w:tr>
    </w:tbl>
    <w:p>
      <w:pPr>
        <w:spacing w:after="80" w:before="80"/>
      </w:pPr>
    </w:p>
    <w:p>
      <w:pPr>
        <w:pBdr>
          <w:bottom w:val="single" w:color="CCCCCC" w:sz="4" w:space="1"/>
        </w:pBdr>
        <w:spacing w:after="160" w:before="160"/>
      </w:pPr>
    </w:p>
    <w:p>
      <w:pPr>
        <w:pStyle w:val="Heading1"/>
        <w:spacing w:after="160" w:before="320"/>
      </w:pPr>
      <w:r>
        <w:rPr>
          <w:rFonts w:ascii="Arial" w:cs="Arial" w:eastAsia="Arial" w:hAnsi="Arial"/>
          <w:b/>
          <w:bCs/>
          <w:color w:val="1F4E79"/>
          <w:sz w:val="32"/>
          <w:szCs w:val="32"/>
        </w:rPr>
        <w:t xml:space="preserve">5. Dépendances et exécution</w:t>
      </w:r>
    </w:p>
    <w:p>
      <w:pPr>
        <w:pStyle w:val="Heading2"/>
        <w:spacing w:after="120" w:before="240"/>
      </w:pPr>
      <w:r>
        <w:rPr>
          <w:rFonts w:ascii="Arial" w:cs="Arial" w:eastAsia="Arial" w:hAnsi="Arial"/>
          <w:b/>
          <w:bCs/>
          <w:color w:val="2E75B6"/>
          <w:sz w:val="26"/>
          <w:szCs w:val="26"/>
        </w:rPr>
        <w:t xml:space="preserve">5.1 Librairies requises</w:t>
      </w:r>
    </w:p>
    <w:p>
      <w:pPr>
        <w:pStyle w:val="ListParagraph"/>
        <w:numPr>
          <w:ilvl w:val="0"/>
          <w:numId w:val="2"/>
        </w:numPr>
        <w:spacing w:after="40" w:before="40"/>
      </w:pPr>
      <w:r>
        <w:rPr>
          <w:rFonts w:ascii="Arial" w:cs="Arial" w:eastAsia="Arial" w:hAnsi="Arial"/>
          <w:sz w:val="22"/>
          <w:szCs w:val="22"/>
        </w:rPr>
        <w:t xml:space="preserve">pandas — manipulation des données tabulaires</w:t>
      </w:r>
    </w:p>
    <w:p>
      <w:pPr>
        <w:pStyle w:val="ListParagraph"/>
        <w:numPr>
          <w:ilvl w:val="0"/>
          <w:numId w:val="2"/>
        </w:numPr>
        <w:spacing w:after="40" w:before="40"/>
      </w:pPr>
      <w:r>
        <w:rPr>
          <w:rFonts w:ascii="Arial" w:cs="Arial" w:eastAsia="Arial" w:hAnsi="Arial"/>
          <w:sz w:val="22"/>
          <w:szCs w:val="22"/>
        </w:rPr>
        <w:t xml:space="preserve">numpy — calculs numériques</w:t>
      </w:r>
    </w:p>
    <w:p>
      <w:pPr>
        <w:pStyle w:val="ListParagraph"/>
        <w:numPr>
          <w:ilvl w:val="0"/>
          <w:numId w:val="2"/>
        </w:numPr>
        <w:spacing w:after="40" w:before="40"/>
      </w:pPr>
      <w:r>
        <w:rPr>
          <w:rFonts w:ascii="Arial" w:cs="Arial" w:eastAsia="Arial" w:hAnsi="Arial"/>
          <w:sz w:val="22"/>
          <w:szCs w:val="22"/>
        </w:rPr>
        <w:t xml:space="preserve">re — expressions régulières pour le parsing</w:t>
      </w:r>
    </w:p>
    <w:p>
      <w:pPr>
        <w:pStyle w:val="ListParagraph"/>
        <w:numPr>
          <w:ilvl w:val="0"/>
          <w:numId w:val="2"/>
        </w:numPr>
        <w:spacing w:after="40" w:before="40"/>
      </w:pPr>
      <w:r>
        <w:rPr>
          <w:rFonts w:ascii="Arial" w:cs="Arial" w:eastAsia="Arial" w:hAnsi="Arial"/>
          <w:sz w:val="22"/>
          <w:szCs w:val="22"/>
        </w:rPr>
        <w:t xml:space="preserve">sklearn.preprocessing.StandardScaler — normalisation</w:t>
      </w:r>
    </w:p>
    <w:p>
      <w:pPr>
        <w:pStyle w:val="ListParagraph"/>
        <w:numPr>
          <w:ilvl w:val="0"/>
          <w:numId w:val="2"/>
        </w:numPr>
        <w:spacing w:after="40" w:before="40"/>
      </w:pPr>
      <w:r>
        <w:rPr>
          <w:rFonts w:ascii="Arial" w:cs="Arial" w:eastAsia="Arial" w:hAnsi="Arial"/>
          <w:sz w:val="22"/>
          <w:szCs w:val="22"/>
        </w:rPr>
        <w:t xml:space="preserve">os — création automatique du dossier outputs/</w:t>
      </w:r>
    </w:p>
    <w:p>
      <w:pPr>
        <w:spacing w:after="80" w:before="80"/>
      </w:pPr>
    </w:p>
    <w:p>
      <w:pPr>
        <w:pStyle w:val="Heading2"/>
        <w:spacing w:after="120" w:before="240"/>
      </w:pPr>
      <w:r>
        <w:rPr>
          <w:rFonts w:ascii="Arial" w:cs="Arial" w:eastAsia="Arial" w:hAnsi="Arial"/>
          <w:b/>
          <w:bCs/>
          <w:color w:val="2E75B6"/>
          <w:sz w:val="26"/>
          <w:szCs w:val="26"/>
        </w:rPr>
        <w:t xml:space="preserve">5.2 Exécution</w:t>
      </w:r>
    </w:p>
    <w:p>
      <w:pPr>
        <w:spacing w:after="80" w:before="80"/>
      </w:pPr>
      <w:r>
        <w:rPr>
          <w:rFonts w:ascii="Arial" w:cs="Arial" w:eastAsia="Arial" w:hAnsi="Arial"/>
          <w:sz w:val="22"/>
          <w:szCs w:val="22"/>
        </w:rPr>
        <w:t xml:space="preserve">Depuis le dossier src/ du projet :</w:t>
      </w:r>
    </w:p>
    <w:p>
      <w:pPr>
        <w:spacing w:after="60" w:before="60"/>
        <w:ind w:left="720"/>
      </w:pPr>
      <w:r>
        <w:rPr>
          <w:rFonts w:ascii="Courier New" w:cs="Courier New" w:eastAsia="Courier New" w:hAnsi="Courier New"/>
          <w:color w:val="C0392B"/>
          <w:sz w:val="20"/>
          <w:szCs w:val="20"/>
        </w:rPr>
        <w:t xml:space="preserve">python etape1_preprocessing.py</w:t>
      </w:r>
    </w:p>
    <w:p>
      <w:pPr>
        <w:spacing w:after="80" w:before="80"/>
      </w:pPr>
      <w:r>
        <w:rPr>
          <w:rFonts w:ascii="Arial" w:cs="Arial" w:eastAsia="Arial" w:hAnsi="Arial"/>
          <w:sz w:val="22"/>
          <w:szCs w:val="22"/>
        </w:rPr>
        <w:t xml:space="preserve">Prérequis : le fichier Insurance claims data.csv doit être présent dans ../data/</w:t>
      </w:r>
    </w:p>
    <w:p>
      <w:pPr>
        <w:spacing w:after="80" w:before="80"/>
      </w:pPr>
    </w:p>
    <w:p>
      <w:pPr>
        <w:pStyle w:val="Heading2"/>
        <w:spacing w:after="120" w:before="240"/>
      </w:pPr>
      <w:r>
        <w:rPr>
          <w:rFonts w:ascii="Arial" w:cs="Arial" w:eastAsia="Arial" w:hAnsi="Arial"/>
          <w:b/>
          <w:bCs/>
          <w:color w:val="2E75B6"/>
          <w:sz w:val="26"/>
          <w:szCs w:val="26"/>
        </w:rPr>
        <w:t xml:space="preserve">5.3 Fichiers produits</w:t>
      </w:r>
    </w:p>
    <w:p>
      <w:pPr>
        <w:pStyle w:val="ListParagraph"/>
        <w:numPr>
          <w:ilvl w:val="0"/>
          <w:numId w:val="2"/>
        </w:numPr>
        <w:spacing w:after="40" w:before="40"/>
      </w:pPr>
      <w:r>
        <w:rPr>
          <w:rFonts w:ascii="Arial" w:cs="Arial" w:eastAsia="Arial" w:hAnsi="Arial"/>
          <w:sz w:val="22"/>
          <w:szCs w:val="22"/>
        </w:rPr>
        <w:t xml:space="preserve">../outputs/data_encoded.csv — (58 592 × 94)</w:t>
      </w:r>
    </w:p>
    <w:p>
      <w:pPr>
        <w:pStyle w:val="ListParagraph"/>
        <w:numPr>
          <w:ilvl w:val="0"/>
          <w:numId w:val="2"/>
        </w:numPr>
        <w:spacing w:after="40" w:before="40"/>
      </w:pPr>
      <w:r>
        <w:rPr>
          <w:rFonts w:ascii="Arial" w:cs="Arial" w:eastAsia="Arial" w:hAnsi="Arial"/>
          <w:sz w:val="22"/>
          <w:szCs w:val="22"/>
        </w:rPr>
        <w:t xml:space="preserve">../outputs/data_preprocessed.csv — (58 592 × 94)</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Projet Génération de données synthétiques — ISFA 2025-2026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2026-05-07T09:44:07.202Z</dcterms:created>
  <dcterms:modified xsi:type="dcterms:W3CDTF">2026-05-07T09:44:07.203Z</dcterms:modified>
</cp:coreProperties>
</file>

<file path=docProps/custom.xml><?xml version="1.0" encoding="utf-8"?>
<Properties xmlns="http://schemas.openxmlformats.org/officeDocument/2006/custom-properties" xmlns:vt="http://schemas.openxmlformats.org/officeDocument/2006/docPropsVTypes"/>
</file>