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Documentation Technique</w:t>
      </w:r>
    </w:p>
    <w:p>
      <w:pPr>
        <w:spacing w:after="80" w:before="0"/>
        <w:jc w:val="center"/>
      </w:pPr>
      <w:r>
        <w:rPr>
          <w:rFonts w:ascii="Arial" w:cs="Arial" w:eastAsia="Arial" w:hAnsi="Arial"/>
          <w:b/>
          <w:bCs/>
          <w:color w:val="2E75B6"/>
          <w:sz w:val="28"/>
          <w:szCs w:val="28"/>
        </w:rPr>
        <w:t xml:space="preserve">Étape 2 — Analyse Exploratoire (EDA)</w:t>
      </w:r>
    </w:p>
    <w:p>
      <w:pPr>
        <w:spacing w:after="80" w:before="0"/>
        <w:jc w:val="center"/>
      </w:pPr>
      <w:r>
        <w:rPr>
          <w:rFonts w:ascii="Courier New" w:cs="Courier New" w:eastAsia="Courier New" w:hAnsi="Courier New"/>
          <w:color w:val="C0392B"/>
          <w:sz w:val="22"/>
          <w:szCs w:val="22"/>
        </w:rPr>
        <w:t xml:space="preserve">etape2_eda.py / etape2_eda.ipynb</w:t>
      </w:r>
    </w:p>
    <w:p>
      <w:pPr>
        <w:spacing w:after="480" w:before="0"/>
        <w:jc w:val="center"/>
      </w:pPr>
      <w:r>
        <w:rPr>
          <w:rFonts w:ascii="Arial" w:cs="Arial" w:eastAsia="Arial" w:hAnsi="Arial"/>
          <w:i/>
          <w:iCs/>
          <w:color w:val="555555"/>
          <w:sz w:val="20"/>
          <w:szCs w:val="20"/>
        </w:rPr>
        <w:t xml:space="preserve">Projet : Génération de données synthétiques de sinistres pour la tarification en assurance</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 Contexte et objectif</w:t>
      </w:r>
    </w:p>
    <w:p>
      <w:pPr>
        <w:spacing w:after="80" w:before="80"/>
      </w:pPr>
      <w:r>
        <w:rPr>
          <w:rFonts w:ascii="Arial" w:cs="Arial" w:eastAsia="Arial" w:hAnsi="Arial"/>
          <w:sz w:val="22"/>
          <w:szCs w:val="22"/>
        </w:rPr>
        <w:t xml:space="preserve">L'étape 2 réalise l'analyse exploratoire complète du dataset Insurance Claims (58 592 polices, 94 colonnes après prétraitement). Elle couvre les études statistiques descriptives, la caractérisation des distributions, la détection des valeurs aberrantes, l'analyse des corrélations et la sélection de variables.</w:t>
      </w:r>
    </w:p>
    <w:p>
      <w:pPr>
        <w:spacing w:after="80" w:before="80"/>
      </w:pPr>
      <w:r>
        <w:rPr>
          <w:rFonts w:ascii="Arial" w:cs="Arial" w:eastAsia="Arial" w:hAnsi="Arial"/>
          <w:sz w:val="22"/>
          <w:szCs w:val="22"/>
        </w:rPr>
        <w:t xml:space="preserve">Input : data_encoded.csv (données en échelle naturelle, non normalisées — indispensable pour l'interprétabilité des graphiques et des statistiques).</w:t>
      </w:r>
    </w:p>
    <w:p>
      <w:pPr>
        <w:spacing w:after="80" w:before="80"/>
      </w:pPr>
    </w:p>
    <w:p>
      <w:pPr>
        <w:pStyle w:val="Heading1"/>
        <w:spacing w:after="160" w:before="320"/>
      </w:pPr>
      <w:r>
        <w:rPr>
          <w:rFonts w:ascii="Arial" w:cs="Arial" w:eastAsia="Arial" w:hAnsi="Arial"/>
          <w:b/>
          <w:bCs/>
          <w:color w:val="1F4E79"/>
          <w:sz w:val="32"/>
          <w:szCs w:val="32"/>
        </w:rPr>
        <w:t xml:space="preserve">2. Structure du script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226"/>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Sortie</w:t>
            </w:r>
          </w:p>
        </w:tc>
      </w:tr>
      <w:tr>
        <w:tc>
          <w:tcPr>
            <w:tcW w:type="dxa" w:w="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Chargement</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Lecture de data_encoded.csv</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Statistiques descriptives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 std, min, max, quartiles, skewness, kurtosis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statistiques_descriptives.csv</w:t>
            </w:r>
          </w:p>
        </w:tc>
      </w:tr>
      <w:tr>
        <w:tc>
          <w:tcPr>
            <w:tcW w:type="dxa" w:w="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Distribution cible</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Camembert + barres du déséquilibre claim_status</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01_distribution_cible.png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Distributions numériques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Histogrammes par classe sur 8 variables clés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02_distributions_numeriques.png</w:t>
            </w:r>
          </w:p>
        </w:tc>
      </w:tr>
      <w:tr>
        <w:tc>
          <w:tcPr>
            <w:tcW w:type="dxa" w:w="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Valeurs aberrantes</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Boxplots par classe + comptage IQR</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03_boxplots_outliers.png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Matrice corrélations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Heatmap triangulaire complète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04_matrice_correlations.png</w:t>
            </w:r>
          </w:p>
        </w:tc>
      </w:tr>
      <w:tr>
        <w:tc>
          <w:tcPr>
            <w:tcW w:type="dxa" w:w="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Corrélations cible</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Classement des corrélations avec claim_status</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05_correlations_target.png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Comparaison classes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Sinistres vs non-sinistres + test Mann-Whitney</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06_comparaison_classes.png</w:t>
            </w:r>
          </w:p>
        </w:tc>
      </w:tr>
      <w:tr>
        <w:tc>
          <w:tcPr>
            <w:tcW w:type="dxa" w:w="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Variables catégorielles</w:t>
            </w:r>
          </w:p>
        </w:tc>
        <w:tc>
          <w:tcPr>
            <w:tcW w:type="dxa" w:w="3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Taux de sinistres par fuel_type, segment, etc.</w:t>
            </w:r>
          </w:p>
        </w:tc>
        <w:tc>
          <w:tcPr>
            <w:tcW w:type="dxa" w:w="3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07_taux_sinistres_categorielles.png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Sélection de variables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Pearson + Spearman + synthèse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08_selection_variables.png + CSV</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3. Chargement — Sorties réelles</w:t>
      </w:r>
    </w:p>
    <w:p>
      <w:pPr>
        <w:spacing w:after="80" w:before="80"/>
      </w:pPr>
      <w:r>
        <w:rPr>
          <w:rFonts w:ascii="Arial" w:cs="Arial" w:eastAsia="Arial" w:hAnsi="Arial"/>
          <w:sz w:val="22"/>
          <w:szCs w:val="22"/>
        </w:rPr>
        <w:t xml:space="preserve">Résultat de l'exécution du notebook :</w:t>
      </w:r>
    </w:p>
    <w:p>
      <w:pPr>
        <w:spacing w:after="80" w:before="80"/>
      </w:pPr>
    </w:p>
    <w:p>
      <w:pPr>
        <w:shd w:fill="F4F4F4" w:val="clear"/>
        <w:spacing w:after="40" w:before="40"/>
        <w:ind w:left="560"/>
      </w:pPr>
      <w:r>
        <w:rPr>
          <w:rFonts w:ascii="Courier New" w:cs="Courier New" w:eastAsia="Courier New" w:hAnsi="Courier New"/>
          <w:color w:val="333333"/>
          <w:sz w:val="18"/>
          <w:szCs w:val="18"/>
        </w:rPr>
        <w:t xml:space="preserve">Shape : 58,592 lignes × 94 colonnes</w:t>
      </w:r>
    </w:p>
    <w:p>
      <w:pPr>
        <w:shd w:fill="F4F4F4" w:val="clear"/>
        <w:spacing w:after="40" w:before="40"/>
        <w:ind w:left="560"/>
      </w:pPr>
      <w:r>
        <w:rPr>
          <w:rFonts w:ascii="Courier New" w:cs="Courier New" w:eastAsia="Courier New" w:hAnsi="Courier New"/>
          <w:color w:val="333333"/>
          <w:sz w:val="18"/>
          <w:szCs w:val="18"/>
        </w:rPr>
        <w:t xml:space="preserve">Non-sinistres (0) : 54,844 (93.6%)</w:t>
      </w:r>
    </w:p>
    <w:p>
      <w:pPr>
        <w:shd w:fill="F4F4F4" w:val="clear"/>
        <w:spacing w:after="40" w:before="40"/>
        <w:ind w:left="560"/>
      </w:pPr>
      <w:r>
        <w:rPr>
          <w:rFonts w:ascii="Courier New" w:cs="Courier New" w:eastAsia="Courier New" w:hAnsi="Courier New"/>
          <w:color w:val="333333"/>
          <w:sz w:val="18"/>
          <w:szCs w:val="18"/>
        </w:rPr>
        <w:t xml:space="preserve">Sinistres     (1) :  3,748  (6.4%)</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4. Statistiques descriptives — Sorties réelles</w:t>
      </w:r>
    </w:p>
    <w:p>
      <w:pPr>
        <w:spacing w:after="80" w:before="80"/>
      </w:pPr>
      <w:r>
        <w:rPr>
          <w:rFonts w:ascii="Arial" w:cs="Arial" w:eastAsia="Arial" w:hAnsi="Arial"/>
          <w:sz w:val="22"/>
          <w:szCs w:val="22"/>
        </w:rPr>
        <w:t xml:space="preserve">Résultats complets issus du notebook :</w:t>
      </w:r>
    </w:p>
    <w:p>
      <w:pPr>
        <w:spacing w:after="80" w:before="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900"/>
        <w:gridCol w:w="900"/>
        <w:gridCol w:w="1100"/>
        <w:gridCol w:w="8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Moyenne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Skewness</w:t>
            </w:r>
          </w:p>
        </w:tc>
        <w:tc>
          <w:tcPr>
            <w:tcW w:type="dxa" w:w="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Kurtosis</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subscription_length</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6.11</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4.14</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14.00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0.05</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vehicle_age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1.09</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5.30</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customer_age</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44.82</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6.94</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35.00</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75.00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0.66</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region_density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18 827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17 660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73 430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1.67</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2.59</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displacement</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1 162</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266</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796</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1 498</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-0.11</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-1.34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cylinder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-0.53</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-1.72</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turning_radius</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4.85</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0.23</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4.50</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5.20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0.42</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-1.18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length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3 850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3 445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4 300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-1.21</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width</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1 672</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112</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1 475</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1 811</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-0.49</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-1.44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gross_weight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1 385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1 051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1 720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0.55</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-1.02</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torque_nm</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134.45</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73.15</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60.00</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250.00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0.67</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-1.16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torque_rpm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3 533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1 750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4 400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-0.30</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-0.69</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power_bhp</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78.98</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27.70</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40.36</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118.36</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-0.24</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-1.39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power_rpm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5 307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3 600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-0.76</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-1.28</w:t>
            </w:r>
          </w:p>
        </w:tc>
      </w:tr>
      <w:tr>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airbags</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3.14</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1.83</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6.00</w:t>
            </w:r>
          </w:p>
        </w:tc>
        <w:tc>
          <w:tcPr>
            <w:tcW w:type="dxa" w:w="11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0.91</w:t>
            </w:r>
          </w:p>
        </w:tc>
        <w:tc>
          <w:tcPr>
            <w:tcW w:type="dxa" w:w="8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ncap_rating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0.09</w:t>
            </w:r>
          </w:p>
        </w:tc>
        <w:tc>
          <w:tcPr>
            <w:tcW w:type="dxa" w:w="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-0.78</w:t>
            </w:r>
          </w:p>
        </w:tc>
      </w:tr>
    </w:tbl>
    <w:p>
      <w:pPr>
        <w:spacing w:after="80" w:before="80"/>
      </w:pPr>
    </w:p>
    <w:p>
      <w:pPr>
        <w:spacing w:after="80" w:before="80"/>
      </w:pPr>
      <w:r>
        <w:rPr>
          <w:rFonts w:ascii="Arial" w:cs="Arial" w:eastAsia="Arial" w:hAnsi="Arial"/>
          <w:b/>
          <w:bCs/>
          <w:sz w:val="22"/>
          <w:szCs w:val="22"/>
        </w:rPr>
        <w:t xml:space="preserve">Observations clés :</w:t>
      </w:r>
    </w:p>
    <w:p>
      <w:pPr>
        <w:pStyle w:val="ListParagraph"/>
        <w:numPr>
          <w:ilvl w:val="0"/>
          <w:numId w:val="2"/>
        </w:numPr>
        <w:spacing w:after="40" w:before="40"/>
      </w:pPr>
      <w:r>
        <w:rPr>
          <w:rFonts w:ascii="Arial" w:cs="Arial" w:eastAsia="Arial" w:hAnsi="Arial"/>
          <w:sz w:val="22"/>
          <w:szCs w:val="22"/>
        </w:rPr>
        <w:t xml:space="preserve">region_density : skewness = 1.67, kurtosis = 2.59 → distribution très asymétrique avec longue queue à droite (zones urbaines très denses)</w:t>
      </w:r>
    </w:p>
    <w:p>
      <w:pPr>
        <w:pStyle w:val="ListParagraph"/>
        <w:numPr>
          <w:ilvl w:val="0"/>
          <w:numId w:val="2"/>
        </w:numPr>
        <w:spacing w:after="40" w:before="40"/>
      </w:pPr>
      <w:r>
        <w:rPr>
          <w:rFonts w:ascii="Arial" w:cs="Arial" w:eastAsia="Arial" w:hAnsi="Arial"/>
          <w:sz w:val="22"/>
          <w:szCs w:val="22"/>
        </w:rPr>
        <w:t xml:space="preserve">vehicle_age : skewness = 1.09, kurtosis = 5.30 → présence de véhicules très anciens (jusqu'à 20 ans) formant une queue marquée</w:t>
      </w:r>
    </w:p>
    <w:p>
      <w:pPr>
        <w:pStyle w:val="ListParagraph"/>
        <w:numPr>
          <w:ilvl w:val="0"/>
          <w:numId w:val="2"/>
        </w:numPr>
        <w:spacing w:after="40" w:before="40"/>
      </w:pPr>
      <w:r>
        <w:rPr>
          <w:rFonts w:ascii="Arial" w:cs="Arial" w:eastAsia="Arial" w:hAnsi="Arial"/>
          <w:sz w:val="22"/>
          <w:szCs w:val="22"/>
        </w:rPr>
        <w:t xml:space="preserve">subscription_length : skewness ≈ 0.05, kurtosis = -1.50 → distribution quasi-uniforme, variable la plus discriminante</w:t>
      </w:r>
    </w:p>
    <w:p>
      <w:pPr>
        <w:pStyle w:val="ListParagraph"/>
        <w:numPr>
          <w:ilvl w:val="0"/>
          <w:numId w:val="2"/>
        </w:numPr>
        <w:spacing w:after="40" w:before="40"/>
      </w:pPr>
      <w:r>
        <w:rPr>
          <w:rFonts w:ascii="Arial" w:cs="Arial" w:eastAsia="Arial" w:hAnsi="Arial"/>
          <w:sz w:val="22"/>
          <w:szCs w:val="22"/>
        </w:rPr>
        <w:t xml:space="preserve">cylinder, width, power_rpm : kurtosis très négatif → distributions bimodales ou plates (peu de valeurs centrales)</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5. Distribution de la variable cible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Effectif</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Non-sinistres (claim_status = 0)</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54 844</w:t>
            </w:r>
          </w:p>
        </w:tc>
        <w:tc>
          <w:tcPr>
            <w:tcW w:type="dxa" w:w="2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93.6%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Sinistres (claim_status =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3 748</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Ratio d'imbalance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pour 14</w:t>
            </w:r>
          </w:p>
        </w:tc>
        <w:tc>
          <w:tcPr>
            <w:tcW w:type="dxa" w:w="2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t>
            </w:r>
          </w:p>
        </w:tc>
      </w:tr>
    </w:tbl>
    <w:p>
      <w:pPr>
        <w:spacing w:after="80" w:before="80"/>
      </w:pPr>
    </w:p>
    <w:p>
      <w:pPr>
        <w:spacing w:after="80" w:before="80"/>
      </w:pPr>
      <w:r>
        <w:rPr>
          <w:rFonts w:ascii="Arial" w:cs="Arial" w:eastAsia="Arial" w:hAnsi="Arial"/>
          <w:sz w:val="22"/>
          <w:szCs w:val="22"/>
        </w:rPr>
        <w:t xml:space="preserve">Figure produite : outputs/figures/01_distribution_cible.png</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6. Détection des valeurs aberrantes — Sorties réelles</w:t>
      </w:r>
    </w:p>
    <w:p>
      <w:pPr>
        <w:spacing w:after="80" w:before="80"/>
      </w:pPr>
      <w:r>
        <w:rPr>
          <w:rFonts w:ascii="Arial" w:cs="Arial" w:eastAsia="Arial" w:hAnsi="Arial"/>
          <w:sz w:val="22"/>
          <w:szCs w:val="22"/>
        </w:rPr>
        <w:t xml:space="preserve">Résultats du comptage IQR sur les 8 variables clés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3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Outliers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c>
          <w:tcPr>
            <w:tcW w:type="dxa" w:w="4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customer_age</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282</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0.5%</w:t>
            </w:r>
          </w:p>
        </w:tc>
        <w:tc>
          <w:tcPr>
            <w:tcW w:type="dxa" w:w="43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Conservés — clients âgés (cas réels)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vehicle_age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Conservés — véhicules très anciens (cas réels)</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region_density</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3 647</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6.2%</w:t>
            </w:r>
          </w:p>
        </w:tc>
        <w:tc>
          <w:tcPr>
            <w:tcW w:type="dxa" w:w="43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Conservés — zones urbaines denses (cas réels)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subscription_length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Aucun outlier</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power_bhp</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w:t>
            </w:r>
          </w:p>
        </w:tc>
        <w:tc>
          <w:tcPr>
            <w:tcW w:type="dxa" w:w="43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Aucun outlier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torque_nm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Aucun outlier</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displacement</w:t>
            </w:r>
          </w:p>
        </w:tc>
        <w:tc>
          <w:tcPr>
            <w:tcW w:type="dxa" w:w="1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w:t>
            </w:r>
          </w:p>
        </w:tc>
        <w:tc>
          <w:tcPr>
            <w:tcW w:type="dxa" w:w="43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Aucun outlier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gross_weight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c>
          <w:tcPr>
            <w:tcW w:type="dxa" w:w="4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Aucun outlier</w:t>
            </w:r>
          </w:p>
        </w:tc>
      </w:tr>
    </w:tbl>
    <w:p>
      <w:pPr>
        <w:spacing w:after="80" w:before="80"/>
      </w:pPr>
    </w:p>
    <w:p>
      <w:pPr>
        <w:spacing w:after="80" w:before="80"/>
      </w:pPr>
      <w:r>
        <w:rPr>
          <w:rFonts w:ascii="Arial" w:cs="Arial" w:eastAsia="Arial" w:hAnsi="Arial"/>
          <w:sz w:val="22"/>
          <w:szCs w:val="22"/>
        </w:rPr>
        <w:t xml:space="preserve">Figure produite : outputs/figures/03_boxplots_outliers.png</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7. Corrélations — Sorties réelles</w:t>
      </w:r>
    </w:p>
    <w:p>
      <w:pPr>
        <w:pStyle w:val="Heading2"/>
        <w:spacing w:after="120" w:before="240"/>
      </w:pPr>
      <w:r>
        <w:rPr>
          <w:rFonts w:ascii="Arial" w:cs="Arial" w:eastAsia="Arial" w:hAnsi="Arial"/>
          <w:b/>
          <w:bCs/>
          <w:color w:val="2E75B6"/>
          <w:sz w:val="26"/>
          <w:szCs w:val="26"/>
        </w:rPr>
        <w:t xml:space="preserve">7.1 Top 5 variables corrélées à claim_status (Pearson)</w:t>
      </w:r>
    </w:p>
    <w:p>
      <w:pPr>
        <w:spacing w:after="80" w:before="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300"/>
        <w:gridCol w:w="1300"/>
        <w:gridCol w:w="1200"/>
        <w:gridCol w:w="12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Pearson |r|</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Spearman |ρ|</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Significatif</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subscription_length</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0.0787</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0.0771</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0.0000</w:t>
            </w:r>
          </w:p>
        </w:tc>
        <w:tc>
          <w:tcPr>
            <w:tcW w:type="dxa" w:w="1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Oui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vehicle_age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0.0282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Oui ***</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customer_age</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0.0222</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0.0211</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0.0000</w:t>
            </w:r>
          </w:p>
        </w:tc>
        <w:tc>
          <w:tcPr>
            <w:tcW w:type="dxa" w:w="1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Oui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region_density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0.0178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0.0103</w:t>
            </w:r>
          </w:p>
        </w:tc>
        <w:tc>
          <w:tcPr>
            <w:tcW w:type="dxa" w:w="1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Oui *</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cylinder</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0.0134</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0.0134</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0.0011</w:t>
            </w:r>
          </w:p>
        </w:tc>
        <w:tc>
          <w:tcPr>
            <w:tcW w:type="dxa" w:w="12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Oui **</w:t>
            </w:r>
          </w:p>
        </w:tc>
      </w:tr>
    </w:tbl>
    <w:p>
      <w:pPr>
        <w:spacing w:after="80" w:before="80"/>
      </w:pPr>
    </w:p>
    <w:p>
      <w:pPr>
        <w:spacing w:after="80" w:before="80"/>
      </w:pPr>
      <w:r>
        <w:rPr>
          <w:rFonts w:ascii="Arial" w:cs="Arial" w:eastAsia="Arial" w:hAnsi="Arial"/>
          <w:b/>
          <w:bCs/>
          <w:sz w:val="22"/>
          <w:szCs w:val="22"/>
        </w:rPr>
        <w:t xml:space="preserve">Multi-colinéarité identifiée :</w:t>
      </w:r>
    </w:p>
    <w:p>
      <w:pPr>
        <w:pStyle w:val="ListParagraph"/>
        <w:numPr>
          <w:ilvl w:val="0"/>
          <w:numId w:val="2"/>
        </w:numPr>
        <w:spacing w:after="40" w:before="40"/>
      </w:pPr>
      <w:r>
        <w:rPr>
          <w:rFonts w:ascii="Arial" w:cs="Arial" w:eastAsia="Arial" w:hAnsi="Arial"/>
          <w:sz w:val="22"/>
          <w:szCs w:val="22"/>
        </w:rPr>
        <w:t xml:space="preserve">displacement / torque_nm / power_bhp → caractéristiques moteur liées</w:t>
      </w:r>
    </w:p>
    <w:p>
      <w:pPr>
        <w:pStyle w:val="ListParagraph"/>
        <w:numPr>
          <w:ilvl w:val="0"/>
          <w:numId w:val="2"/>
        </w:numPr>
        <w:spacing w:after="40" w:before="40"/>
      </w:pPr>
      <w:r>
        <w:rPr>
          <w:rFonts w:ascii="Arial" w:cs="Arial" w:eastAsia="Arial" w:hAnsi="Arial"/>
          <w:sz w:val="22"/>
          <w:szCs w:val="22"/>
        </w:rPr>
        <w:t xml:space="preserve">length / width / gross_weight → dimensions physiques du véhicule</w:t>
      </w:r>
    </w:p>
    <w:p>
      <w:pPr>
        <w:spacing w:after="80" w:before="80"/>
      </w:pPr>
    </w:p>
    <w:p>
      <w:pPr>
        <w:spacing w:after="80" w:before="80"/>
      </w:pPr>
      <w:r>
        <w:rPr>
          <w:rFonts w:ascii="Arial" w:cs="Arial" w:eastAsia="Arial" w:hAnsi="Arial"/>
          <w:sz w:val="22"/>
          <w:szCs w:val="22"/>
        </w:rPr>
        <w:t xml:space="preserve">Figures produites : 04_matrice_correlations.png, 05_correlations_target.png</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8. Test de Mann-Whitney — Sorties réelles</w:t>
      </w:r>
    </w:p>
    <w:p>
      <w:pPr>
        <w:spacing w:after="80" w:before="80"/>
      </w:pPr>
      <w:r>
        <w:rPr>
          <w:rFonts w:ascii="Arial" w:cs="Arial" w:eastAsia="Arial" w:hAnsi="Arial"/>
          <w:sz w:val="22"/>
          <w:szCs w:val="22"/>
        </w:rPr>
        <w:t xml:space="preserve">Comparaison des distributions sinistres vs non-sinistres pour 4 variables clés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4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Significativité</w:t>
            </w:r>
          </w:p>
        </w:tc>
        <w:tc>
          <w:tcPr>
            <w:tcW w:type="dxa" w:w="3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Interprétation</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subscription_length</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1.01e-77</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Très significatif</w:t>
            </w:r>
          </w:p>
        </w:tc>
        <w:tc>
          <w:tcPr>
            <w:tcW w:type="dxa" w:w="3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Les polices plus anciennes ont nettement plus de sinistres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vehicle_age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1.10e-11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Très significatif</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Les véhicules plus vieux ont plus de sinistres</w:t>
            </w:r>
          </w:p>
        </w:tc>
      </w:tr>
      <w:tr>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customer_age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3.20e-07</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 Très significatif</w:t>
            </w:r>
          </w:p>
        </w:tc>
        <w:tc>
          <w:tcPr>
            <w:tcW w:type="dxa" w:w="34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Les clients plus âgés ont légèrement plus de sinistres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region_density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1.03e-02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Significatif</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Les zones denses ont un taux légèrement plus élevé</w:t>
            </w:r>
          </w:p>
        </w:tc>
      </w:tr>
    </w:tbl>
    <w:p>
      <w:pPr>
        <w:spacing w:after="80" w:before="80"/>
      </w:pPr>
    </w:p>
    <w:p>
      <w:pPr>
        <w:spacing w:after="80" w:before="80"/>
      </w:pPr>
      <w:r>
        <w:rPr>
          <w:rFonts w:ascii="Arial" w:cs="Arial" w:eastAsia="Arial" w:hAnsi="Arial"/>
          <w:sz w:val="22"/>
          <w:szCs w:val="22"/>
        </w:rPr>
        <w:t xml:space="preserve">Figure produite : outputs/figures/06_comparaison_classes.png</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9. Taux de sinistres par variables catégorielles — Sorties réelles</w:t>
      </w:r>
    </w:p>
    <w:p>
      <w:pPr>
        <w:spacing w:after="80" w:before="80"/>
      </w:pPr>
      <w:r>
        <w:rPr>
          <w:rFonts w:ascii="Arial" w:cs="Arial" w:eastAsia="Arial" w:hAnsi="Arial"/>
          <w:sz w:val="22"/>
          <w:szCs w:val="22"/>
        </w:rPr>
        <w:t xml:space="preserve">Taux moyen global : 6.4%</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Modalité</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Taux de sinistres</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fuel_type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Petrol</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6.64%</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fuel_type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Diesel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6.49%</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fuel_type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CNG</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6.07%</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segment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B2</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6.86%</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segment</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C2 / C1</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6.43% / 6.41%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segment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 Utility / B1</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6.04% / 6.04% / 5.85%</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transmission_type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Automatic</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6.42%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transmission_type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6.39%</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rear_brakes_type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Disc</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6.43%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rear_brakes_type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Drum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6.39%</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steering_type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Electric</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6.69%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steering_type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6.20%</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steering_type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Manual</w:t>
            </w:r>
          </w:p>
        </w:tc>
        <w:tc>
          <w:tcPr>
            <w:tcW w:type="dxa" w:w="4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6.04%</w:t>
            </w:r>
          </w:p>
        </w:tc>
      </w:tr>
    </w:tbl>
    <w:p>
      <w:pPr>
        <w:spacing w:after="80" w:before="80"/>
      </w:pPr>
    </w:p>
    <w:p>
      <w:pPr>
        <w:spacing w:after="80" w:before="80"/>
      </w:pPr>
      <w:r>
        <w:rPr>
          <w:rFonts w:ascii="Arial" w:cs="Arial" w:eastAsia="Arial" w:hAnsi="Arial"/>
          <w:sz w:val="22"/>
          <w:szCs w:val="22"/>
        </w:rPr>
        <w:t xml:space="preserve">Observation : les écarts entre modalités sont faibles (&lt; 1 point), confirmant que le sinistre dépend d'une combinaison de facteurs plutôt que d'une variable isolée.</w:t>
      </w:r>
    </w:p>
    <w:p>
      <w:pPr>
        <w:spacing w:after="80" w:before="80"/>
      </w:pPr>
      <w:r>
        <w:rPr>
          <w:rFonts w:ascii="Arial" w:cs="Arial" w:eastAsia="Arial" w:hAnsi="Arial"/>
          <w:sz w:val="22"/>
          <w:szCs w:val="22"/>
        </w:rPr>
        <w:t xml:space="preserve">Figure produite : outputs/figures/07_taux_sinistres_categorielles.png</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10. Sélection de variables — Sorties réelles</w:t>
      </w:r>
    </w:p>
    <w:p>
      <w:pPr>
        <w:spacing w:after="80" w:before="80"/>
      </w:pPr>
      <w:r>
        <w:rPr>
          <w:rFonts w:ascii="Arial" w:cs="Arial" w:eastAsia="Arial" w:hAnsi="Arial"/>
          <w:sz w:val="22"/>
          <w:szCs w:val="22"/>
        </w:rPr>
        <w:t xml:space="preserve">Tableau complet issu du notebook (Pearson + Spearman)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200"/>
        <w:gridCol w:w="27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Pearson |r|</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Spearman |ρ|</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2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Retenue</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subscription_length</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0.0787</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0.0771</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0.0000</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vehicle_age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0.0282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customer_age</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0.0222</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0.0211</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0.0000</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region_density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0.0178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0.0103</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cylinder</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0.0134</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0.0134</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0.0011</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width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0.0099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0.0638</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power_bhp</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0.0077</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0.0065</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0.1181</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displacement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0.0077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0.0078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0.0591</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length</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0.0065</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0.0073</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0.0777</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torque_rpm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0.0048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0.1643</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torque_nm</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0.0043</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0.0072</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0.0826</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gross_weight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0.0039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0.0052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0.2051</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ncap_rating</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0.0038</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0.0034</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0.4170</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airbags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0.0028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0.4682</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turning_radius</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0.0027</w:t>
            </w:r>
          </w:p>
        </w:tc>
        <w:tc>
          <w:tcPr>
            <w:tcW w:type="dxa" w:w="13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0.0041</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0.3187</w:t>
            </w:r>
          </w:p>
        </w:tc>
        <w:tc>
          <w:tcPr>
            <w:tcW w:type="dxa" w:w="27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power_rpm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0.4960</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w:t>
            </w:r>
          </w:p>
        </w:tc>
      </w:tr>
    </w:tbl>
    <w:p>
      <w:pPr>
        <w:spacing w:after="80" w:before="80"/>
      </w:pPr>
    </w:p>
    <w:p>
      <w:pPr>
        <w:spacing w:after="80" w:before="80"/>
      </w:pPr>
      <w:r>
        <w:rPr>
          <w:rFonts w:ascii="Arial" w:cs="Arial" w:eastAsia="Arial" w:hAnsi="Arial"/>
          <w:sz w:val="22"/>
          <w:szCs w:val="22"/>
        </w:rPr>
        <w:t xml:space="preserve">Critère de sélection : Pearson &gt; 0.02 ET p-value Spearman &lt; 0.05 → 5 variables retenues : subscription_length, vehicle_age, customer_age, region_density, cylinder.</w:t>
      </w:r>
    </w:p>
    <w:p>
      <w:pPr>
        <w:spacing w:after="80" w:before="80"/>
      </w:pPr>
      <w:r>
        <w:rPr>
          <w:rFonts w:ascii="Arial" w:cs="Arial" w:eastAsia="Arial" w:hAnsi="Arial"/>
          <w:sz w:val="22"/>
          <w:szCs w:val="22"/>
        </w:rPr>
        <w:t xml:space="preserve">Figure produite : outputs/figures/08_selection_variables.png</w:t>
      </w:r>
    </w:p>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11. Résumé — Étape 2</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Dataset analysé</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58 592 polices × 94 colonnes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Taux de sinistres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 (3 748 / 58 592)</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Déséquilibre</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sinistre pour 14 non-sinistres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 la plus discriminante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subscription_length (r = 0.0787, p &lt; 0.001)</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Variables significatives retenues</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subscription_length, vehicle_age, customer_age, region_density, cylinder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Outliers détectés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3 998 au total — conservés (justification actuarielle)</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Multi-colinéarité identifiée</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Variables moteur + dimensions véhicule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Mann-Whitney</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variables significatives (3 à p&lt;0.001, 1 à p&lt;0.05)</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Figures produites</w:t>
            </w:r>
          </w:p>
        </w:tc>
        <w:tc>
          <w:tcPr>
            <w:tcW w:type="dxa" w:w="5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8 figures dans outputs/figures/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Fichiers CSV produits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statistiques_descriptives.csv, selection_variables.csv</w:t>
            </w:r>
          </w:p>
        </w:tc>
      </w:tr>
    </w:tbl>
    <w:p>
      <w:pPr>
        <w:spacing w:after="80" w:before="80"/>
      </w:pPr>
    </w:p>
    <w:p>
      <w:pPr>
        <w:pStyle w:val="Heading2"/>
        <w:spacing w:after="120" w:before="240"/>
      </w:pPr>
      <w:r>
        <w:rPr>
          <w:rFonts w:ascii="Arial" w:cs="Arial" w:eastAsia="Arial" w:hAnsi="Arial"/>
          <w:b/>
          <w:bCs/>
          <w:color w:val="2E75B6"/>
          <w:sz w:val="26"/>
          <w:szCs w:val="26"/>
        </w:rPr>
        <w:t xml:space="preserve">11.1 Implications pour la modélisation</w:t>
      </w:r>
    </w:p>
    <w:p>
      <w:pPr>
        <w:pStyle w:val="ListParagraph"/>
        <w:numPr>
          <w:ilvl w:val="0"/>
          <w:numId w:val="2"/>
        </w:numPr>
        <w:spacing w:after="40" w:before="40"/>
      </w:pPr>
      <w:r>
        <w:rPr>
          <w:rFonts w:ascii="Arial" w:cs="Arial" w:eastAsia="Arial" w:hAnsi="Arial"/>
          <w:sz w:val="22"/>
          <w:szCs w:val="22"/>
        </w:rPr>
        <w:t xml:space="preserve">Faibles corrélations (&lt;0.10) → les relations non-linéaires justifient le recours au deep learning génératif (CTGAN/TVAE)</w:t>
      </w:r>
    </w:p>
    <w:p>
      <w:pPr>
        <w:pStyle w:val="ListParagraph"/>
        <w:numPr>
          <w:ilvl w:val="0"/>
          <w:numId w:val="2"/>
        </w:numPr>
        <w:spacing w:after="40" w:before="40"/>
      </w:pPr>
      <w:r>
        <w:rPr>
          <w:rFonts w:ascii="Arial" w:cs="Arial" w:eastAsia="Arial" w:hAnsi="Arial"/>
          <w:sz w:val="22"/>
          <w:szCs w:val="22"/>
        </w:rPr>
        <w:t xml:space="preserve">Déséquilibre sévère (1/14) → la génération synthétique est nécessaire pour améliorer la détection des sinistres</w:t>
      </w:r>
    </w:p>
    <w:p>
      <w:pPr>
        <w:pStyle w:val="ListParagraph"/>
        <w:numPr>
          <w:ilvl w:val="0"/>
          <w:numId w:val="2"/>
        </w:numPr>
        <w:spacing w:after="40" w:before="40"/>
      </w:pPr>
      <w:r>
        <w:rPr>
          <w:rFonts w:ascii="Arial" w:cs="Arial" w:eastAsia="Arial" w:hAnsi="Arial"/>
          <w:sz w:val="22"/>
          <w:szCs w:val="22"/>
        </w:rPr>
        <w:t xml:space="preserve">Multi-colinéarité moteur → absorbée naturellement par CTGAN/TVAE sans traitement préalable</w:t>
      </w:r>
    </w:p>
    <w:p>
      <w:pPr>
        <w:pStyle w:val="ListParagraph"/>
        <w:numPr>
          <w:ilvl w:val="0"/>
          <w:numId w:val="2"/>
        </w:numPr>
        <w:spacing w:after="40" w:before="40"/>
      </w:pPr>
      <w:r>
        <w:rPr>
          <w:rFonts w:ascii="Arial" w:cs="Arial" w:eastAsia="Arial" w:hAnsi="Arial"/>
          <w:sz w:val="22"/>
          <w:szCs w:val="22"/>
        </w:rPr>
        <w:t xml:space="preserve">subscription_length, vehicle_age, customer_age → variables prioritaires à surveiller dans l'évaluation du générateur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Projet Génération de données synthétiques — ISFA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2026-05-07T19:47:10.193Z</dcterms:created>
  <dcterms:modified xsi:type="dcterms:W3CDTF">2026-05-07T19:47:10.193Z</dcterms:modified>
</cp:coreProperties>
</file>

<file path=docProps/custom.xml><?xml version="1.0" encoding="utf-8"?>
<Properties xmlns="http://schemas.openxmlformats.org/officeDocument/2006/custom-properties" xmlns:vt="http://schemas.openxmlformats.org/officeDocument/2006/docPropsVTypes"/>
</file>