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Documentation Technique</w:t>
      </w:r>
    </w:p>
    <w:p>
      <w:pPr>
        <w:spacing w:after="80" w:before="0"/>
        <w:jc w:val="center"/>
      </w:pPr>
      <w:r>
        <w:rPr>
          <w:rFonts w:ascii="Arial" w:cs="Arial" w:eastAsia="Arial" w:hAnsi="Arial"/>
          <w:b/>
          <w:bCs/>
          <w:color w:val="2E75B6"/>
          <w:sz w:val="28"/>
          <w:szCs w:val="28"/>
        </w:rPr>
        <w:t xml:space="preserve">Étape 3 — Modélisation</w:t>
      </w:r>
    </w:p>
    <w:p>
      <w:pPr>
        <w:spacing w:after="80" w:before="0"/>
        <w:jc w:val="center"/>
      </w:pPr>
      <w:r>
        <w:rPr>
          <w:rFonts w:ascii="Courier New" w:cs="Courier New" w:eastAsia="Courier New" w:hAnsi="Courier New"/>
          <w:color w:val="C0392B"/>
          <w:sz w:val="22"/>
          <w:szCs w:val="22"/>
        </w:rPr>
        <w:t xml:space="preserve">etape3_modelisation.py</w:t>
      </w:r>
    </w:p>
    <w:p>
      <w:pPr>
        <w:spacing w:after="480" w:before="0"/>
        <w:jc w:val="center"/>
      </w:pPr>
      <w:r>
        <w:rPr>
          <w:rFonts w:ascii="Arial" w:cs="Arial" w:eastAsia="Arial" w:hAnsi="Arial"/>
          <w:i/>
          <w:iCs/>
          <w:color w:val="555555"/>
          <w:sz w:val="20"/>
          <w:szCs w:val="20"/>
        </w:rPr>
        <w:t xml:space="preserve">Projet : Génération de données synthétiques de sinistres pour la tarification en assurance</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 Justification de l'approche retenue</w:t>
      </w:r>
    </w:p>
    <w:p>
      <w:pPr>
        <w:spacing w:after="80" w:before="80"/>
      </w:pPr>
      <w:r>
        <w:rPr>
          <w:rFonts w:ascii="Arial" w:cs="Arial" w:eastAsia="Arial" w:hAnsi="Arial"/>
          <w:sz w:val="22"/>
          <w:szCs w:val="22"/>
        </w:rPr>
        <w:t xml:space="preserve">Le projet mobilise les deux approches autorisées par les consignes : ML/DL génératif ET architecture LLM locale.</w:t>
      </w:r>
    </w:p>
    <w:p>
      <w:pPr>
        <w:spacing w:after="80" w:before="80"/>
      </w:pPr>
    </w:p>
    <w:p>
      <w:pPr>
        <w:pStyle w:val="Heading2"/>
        <w:spacing w:after="120" w:before="240"/>
      </w:pPr>
      <w:r>
        <w:rPr>
          <w:rFonts w:ascii="Arial" w:cs="Arial" w:eastAsia="Arial" w:hAnsi="Arial"/>
          <w:b/>
          <w:bCs/>
          <w:color w:val="2E75B6"/>
          <w:sz w:val="26"/>
          <w:szCs w:val="26"/>
        </w:rPr>
        <w:t xml:space="preserve">1.1 Approche ML/DL — CTGAN + TVAE + XGBoost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LLM seul</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CTGAN/TVAE (retenu)</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Adapté aux données tabulaires</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Conçu pour le texte</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Conçu spécifiquement pour ce cas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Coût computationnel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Très élevé (API payante)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Maîtrisé en local</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Performance données numériques</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Non démontré</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State-of-the-art (MIT, SDV)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Pertinence actuarielle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Faible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Directement applicable</w:t>
            </w:r>
          </w:p>
        </w:tc>
      </w:tr>
    </w:tbl>
    <w:p>
      <w:pPr>
        <w:spacing w:after="80" w:before="80"/>
      </w:pPr>
    </w:p>
    <w:p>
      <w:pPr>
        <w:pStyle w:val="Heading2"/>
        <w:spacing w:after="120" w:before="240"/>
      </w:pPr>
      <w:r>
        <w:rPr>
          <w:rFonts w:ascii="Arial" w:cs="Arial" w:eastAsia="Arial" w:hAnsi="Arial"/>
          <w:b/>
          <w:bCs/>
          <w:color w:val="2E75B6"/>
          <w:sz w:val="26"/>
          <w:szCs w:val="26"/>
        </w:rPr>
        <w:t xml:space="preserve">1.2 Approche LLM — Ollama/phi3.5 (local, gratuit)</w:t>
      </w:r>
    </w:p>
    <w:p>
      <w:pPr>
        <w:spacing w:after="80" w:before="80"/>
      </w:pPr>
      <w:r>
        <w:rPr>
          <w:rFonts w:ascii="Arial" w:cs="Arial" w:eastAsia="Arial" w:hAnsi="Arial"/>
          <w:sz w:val="22"/>
          <w:szCs w:val="22"/>
        </w:rPr>
        <w:t xml:space="preserve">Le LLM enrichit les sinistres synthétiques avec des descriptions textuelles professionnelles. Ollama fait tourner le modèle phi3.5 (Microsoft) directement en local — sans frais d'API et sans envoi de données sur internet.</w:t>
      </w:r>
    </w:p>
    <w:p>
      <w:pPr>
        <w:spacing w:after="80" w:before="80"/>
      </w:pPr>
    </w:p>
    <w:p>
      <w:pPr>
        <w:pStyle w:val="Heading2"/>
        <w:spacing w:after="120" w:before="240"/>
      </w:pPr>
      <w:r>
        <w:rPr>
          <w:rFonts w:ascii="Arial" w:cs="Arial" w:eastAsia="Arial" w:hAnsi="Arial"/>
          <w:b/>
          <w:bCs/>
          <w:color w:val="2E75B6"/>
          <w:sz w:val="26"/>
          <w:szCs w:val="26"/>
        </w:rPr>
        <w:t xml:space="preserve">1.3 Pipeline complet</w:t>
      </w:r>
    </w:p>
    <w:p>
      <w:pPr>
        <w:shd w:fill="F4F4F4" w:val="clear"/>
        <w:spacing w:after="40" w:before="40"/>
        <w:ind w:left="560"/>
      </w:pPr>
      <w:r>
        <w:rPr>
          <w:rFonts w:ascii="Courier New" w:cs="Courier New" w:eastAsia="Courier New" w:hAnsi="Courier New"/>
          <w:color w:val="333333"/>
          <w:sz w:val="18"/>
          <w:szCs w:val="18"/>
        </w:rPr>
        <w:t xml:space="preserve">Données réelles (58 592 polices)</w:t>
      </w:r>
    </w:p>
    <w:p>
      <w:pPr>
        <w:shd w:fill="F4F4F4" w:val="clear"/>
        <w:spacing w:after="40" w:before="40"/>
        <w:ind w:left="560"/>
      </w:pPr>
      <w:r>
        <w:rPr>
          <w:rFonts w:ascii="Courier New" w:cs="Courier New" w:eastAsia="Courier New" w:hAnsi="Courier New"/>
          <w:color w:val="333333"/>
          <w:sz w:val="18"/>
          <w:szCs w:val="18"/>
        </w:rPr>
        <w:t xml:space="preserve">        │</w:t>
      </w:r>
    </w:p>
    <w:p>
      <w:pPr>
        <w:shd w:fill="F4F4F4" w:val="clear"/>
        <w:spacing w:after="40" w:before="40"/>
        <w:ind w:left="560"/>
      </w:pPr>
      <w:r>
        <w:rPr>
          <w:rFonts w:ascii="Courier New" w:cs="Courier New" w:eastAsia="Courier New" w:hAnsi="Courier New"/>
          <w:color w:val="333333"/>
          <w:sz w:val="18"/>
          <w:szCs w:val="18"/>
        </w:rPr>
        <w:t xml:space="preserve">        ├──► CTGAN ──► 5 000 sinistres synthétiques (chiffres)</w:t>
      </w:r>
    </w:p>
    <w:p>
      <w:pPr>
        <w:shd w:fill="F4F4F4" w:val="clear"/>
        <w:spacing w:after="40" w:before="40"/>
        <w:ind w:left="560"/>
      </w:pPr>
      <w:r>
        <w:rPr>
          <w:rFonts w:ascii="Courier New" w:cs="Courier New" w:eastAsia="Courier New" w:hAnsi="Courier New"/>
          <w:color w:val="333333"/>
          <w:sz w:val="18"/>
          <w:szCs w:val="18"/>
        </w:rPr>
        <w:t xml:space="preserve">        ├──► TVAE  ──► 5 000 sinistres synthétiques (chiffres)</w:t>
      </w:r>
    </w:p>
    <w:p>
      <w:pPr>
        <w:shd w:fill="F4F4F4" w:val="clear"/>
        <w:spacing w:after="40" w:before="40"/>
        <w:ind w:left="560"/>
      </w:pPr>
      <w:r>
        <w:rPr>
          <w:rFonts w:ascii="Courier New" w:cs="Courier New" w:eastAsia="Courier New" w:hAnsi="Courier New"/>
          <w:color w:val="333333"/>
          <w:sz w:val="18"/>
          <w:szCs w:val="18"/>
        </w:rPr>
        <w:t xml:space="preserve">        │                        │</w:t>
      </w:r>
    </w:p>
    <w:p>
      <w:pPr>
        <w:shd w:fill="F4F4F4" w:val="clear"/>
        <w:spacing w:after="40" w:before="40"/>
        <w:ind w:left="560"/>
      </w:pPr>
      <w:r>
        <w:rPr>
          <w:rFonts w:ascii="Courier New" w:cs="Courier New" w:eastAsia="Courier New" w:hAnsi="Courier New"/>
          <w:color w:val="333333"/>
          <w:sz w:val="18"/>
          <w:szCs w:val="18"/>
        </w:rPr>
        <w:t xml:space="preserve">        │              Ollama/phi3.5 ──► descriptions textuelles</w:t>
      </w:r>
    </w:p>
    <w:p>
      <w:pPr>
        <w:shd w:fill="F4F4F4" w:val="clear"/>
        <w:spacing w:after="40" w:before="40"/>
        <w:ind w:left="560"/>
      </w:pPr>
      <w:r>
        <w:rPr>
          <w:rFonts w:ascii="Courier New" w:cs="Courier New" w:eastAsia="Courier New" w:hAnsi="Courier New"/>
          <w:color w:val="333333"/>
          <w:sz w:val="18"/>
          <w:szCs w:val="18"/>
        </w:rPr>
        <w:t xml:space="preserve">        └──► XGBoost ◄─────────────────────────────────────────</w:t>
      </w:r>
    </w:p>
    <w:p>
      <w:pPr>
        <w:shd w:fill="F4F4F4" w:val="clear"/>
        <w:spacing w:after="40" w:before="40"/>
        <w:ind w:left="560"/>
      </w:pPr>
      <w:r>
        <w:rPr>
          <w:rFonts w:ascii="Courier New" w:cs="Courier New" w:eastAsia="Courier New" w:hAnsi="Courier New"/>
          <w:color w:val="333333"/>
          <w:sz w:val="18"/>
          <w:szCs w:val="18"/>
        </w:rPr>
        <w:t xml:space="preserve">                │</w:t>
      </w:r>
    </w:p>
    <w:p>
      <w:pPr>
        <w:shd w:fill="F4F4F4" w:val="clear"/>
        <w:spacing w:after="40" w:before="40"/>
        <w:ind w:left="560"/>
      </w:pPr>
      <w:r>
        <w:rPr>
          <w:rFonts w:ascii="Courier New" w:cs="Courier New" w:eastAsia="Courier New" w:hAnsi="Courier New"/>
          <w:color w:val="333333"/>
          <w:sz w:val="18"/>
          <w:szCs w:val="18"/>
        </w:rPr>
        <w:t xml:space="preserve">        Comparaison AUC / F1 / Recall</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2. Données et split — Sorties réelles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data_encoded.csv</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(58 592 × 94) — pour CTGAN/TVAE (échelle naturelle)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data_preprocessed.csv</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(58 592 × 94) — pour XGBoost (normalisé)</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Insurance claims data.csv</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(58 592 × 41) — pour le contexte LLM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46 873 polices — 2 998 sinistres (6.4%)</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Test</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11 719 polices — 750 sinistres (6.4%) — uniquement réel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Split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Stratifié — ratio 6.4% conservé dans train et test</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3. Baseline — XGBoost sur données brutes</w:t>
      </w:r>
    </w:p>
    <w:p>
      <w:pPr>
        <w:pStyle w:val="Heading2"/>
        <w:spacing w:after="120" w:before="240"/>
      </w:pPr>
      <w:r>
        <w:rPr>
          <w:rFonts w:ascii="Arial" w:cs="Arial" w:eastAsia="Arial" w:hAnsi="Arial"/>
          <w:b/>
          <w:bCs/>
          <w:color w:val="2E75B6"/>
          <w:sz w:val="26"/>
          <w:szCs w:val="26"/>
        </w:rPr>
        <w:t xml:space="preserve">3.1 Paramètres</w:t>
      </w:r>
    </w:p>
    <w:p>
      <w:pPr>
        <w:pStyle w:val="ListParagraph"/>
        <w:numPr>
          <w:ilvl w:val="0"/>
          <w:numId w:val="2"/>
        </w:numPr>
        <w:spacing w:after="40" w:before="40"/>
      </w:pPr>
      <w:r>
        <w:rPr>
          <w:rFonts w:ascii="Arial" w:cs="Arial" w:eastAsia="Arial" w:hAnsi="Arial"/>
          <w:sz w:val="22"/>
          <w:szCs w:val="22"/>
        </w:rPr>
        <w:t xml:space="preserve">n_estimators = 300, max_depth = 6, learning_rate = 0.05</w:t>
      </w:r>
    </w:p>
    <w:p>
      <w:pPr>
        <w:pStyle w:val="ListParagraph"/>
        <w:numPr>
          <w:ilvl w:val="0"/>
          <w:numId w:val="2"/>
        </w:numPr>
        <w:spacing w:after="40" w:before="40"/>
      </w:pPr>
      <w:r>
        <w:rPr>
          <w:rFonts w:ascii="Arial" w:cs="Arial" w:eastAsia="Arial" w:hAnsi="Arial"/>
          <w:sz w:val="22"/>
          <w:szCs w:val="22"/>
        </w:rPr>
        <w:t xml:space="preserve">subsample = 0.8, colsample_bytree = 0.8</w:t>
      </w:r>
    </w:p>
    <w:p>
      <w:pPr>
        <w:pStyle w:val="ListParagraph"/>
        <w:numPr>
          <w:ilvl w:val="0"/>
          <w:numId w:val="2"/>
        </w:numPr>
        <w:spacing w:after="40" w:before="40"/>
      </w:pPr>
      <w:r>
        <w:rPr>
          <w:rFonts w:ascii="Arial" w:cs="Arial" w:eastAsia="Arial" w:hAnsi="Arial"/>
          <w:sz w:val="22"/>
          <w:szCs w:val="22"/>
        </w:rPr>
        <w:t xml:space="preserve">scale_pos_weight = 14 — compense le déséquilibre 1 pour 14</w:t>
      </w:r>
    </w:p>
    <w:p>
      <w:pPr>
        <w:spacing w:after="80" w:before="80"/>
      </w:pPr>
    </w:p>
    <w:p>
      <w:pPr>
        <w:pStyle w:val="Heading2"/>
        <w:spacing w:after="120" w:before="240"/>
      </w:pPr>
      <w:r>
        <w:rPr>
          <w:rFonts w:ascii="Arial" w:cs="Arial" w:eastAsia="Arial" w:hAnsi="Arial"/>
          <w:b/>
          <w:bCs/>
          <w:color w:val="2E75B6"/>
          <w:sz w:val="26"/>
          <w:szCs w:val="26"/>
        </w:rPr>
        <w:t xml:space="preserve">3.2 Sorties réelles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Interprétation</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AUC-ROC</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0.6454</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Discrimination modérée — mieux que le hasard (0.5)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F1-score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0.1726</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Meilleur F1 de tous les modèles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Recall</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0.5240</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52.4% des sinistres détectés — priorité actuarielle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0.1033</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10.3% des sinistres prédits sont réels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TN</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7 557</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Vrais non-sinistres correctement classés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3 412</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Faux positifs — non-sinistres classés sinistres</w:t>
            </w:r>
          </w:p>
        </w:tc>
      </w:tr>
      <w:tr>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FN</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357</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Sinistres ratés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393</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Vrais sinistres détectés</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4. Génération CTGAN — Sorties réelles</w:t>
      </w:r>
    </w:p>
    <w:p>
      <w:pPr>
        <w:pStyle w:val="Heading2"/>
        <w:spacing w:after="120" w:before="240"/>
      </w:pPr>
      <w:r>
        <w:rPr>
          <w:rFonts w:ascii="Arial" w:cs="Arial" w:eastAsia="Arial" w:hAnsi="Arial"/>
          <w:b/>
          <w:bCs/>
          <w:color w:val="2E75B6"/>
          <w:sz w:val="26"/>
          <w:szCs w:val="26"/>
        </w:rPr>
        <w:t xml:space="preserve">4.1 Architecture</w:t>
      </w:r>
    </w:p>
    <w:p>
      <w:pPr>
        <w:spacing w:after="80" w:before="80"/>
      </w:pPr>
      <w:r>
        <w:rPr>
          <w:rFonts w:ascii="Arial" w:cs="Arial" w:eastAsia="Arial" w:hAnsi="Arial"/>
          <w:sz w:val="22"/>
          <w:szCs w:val="22"/>
        </w:rPr>
        <w:t xml:space="preserve">Conditional Tabular GAN (Xu et al., MIT, 2019). Deux réseaux en compétition : le générateur fabrique de faux profils de sinistres, le discriminateur essaie de les détecter. Après 300 epochs, le générateur produit des profils réalistes.</w:t>
      </w:r>
    </w:p>
    <w:p>
      <w:pPr>
        <w:spacing w:after="80" w:before="80"/>
      </w:pPr>
    </w:p>
    <w:p>
      <w:pPr>
        <w:pStyle w:val="Heading2"/>
        <w:spacing w:after="120" w:before="240"/>
      </w:pPr>
      <w:r>
        <w:rPr>
          <w:rFonts w:ascii="Arial" w:cs="Arial" w:eastAsia="Arial" w:hAnsi="Arial"/>
          <w:b/>
          <w:bCs/>
          <w:color w:val="2E75B6"/>
          <w:sz w:val="26"/>
          <w:szCs w:val="26"/>
        </w:rPr>
        <w:t xml:space="preserve">4.2 Paramètres et résultats d'entraînement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Données d'entraînement</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2 998 sinistres réels du train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Epochs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Loss finale Générateur</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-02.59</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Loss finale Discriminateur</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-01.90</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Temps d'entraînement</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 minutes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Synthétiques générés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5 000</w:t>
            </w:r>
          </w:p>
        </w:tc>
      </w:tr>
    </w:tbl>
    <w:p>
      <w:pPr>
        <w:spacing w:after="80" w:before="80"/>
      </w:pPr>
    </w:p>
    <w:p>
      <w:pPr>
        <w:pStyle w:val="Heading2"/>
        <w:spacing w:after="120" w:before="240"/>
      </w:pPr>
      <w:r>
        <w:rPr>
          <w:rFonts w:ascii="Arial" w:cs="Arial" w:eastAsia="Arial" w:hAnsi="Arial"/>
          <w:b/>
          <w:bCs/>
          <w:color w:val="2E75B6"/>
          <w:sz w:val="26"/>
          <w:szCs w:val="26"/>
        </w:rPr>
        <w:t xml:space="preserve">4.3 Résultats du classifieur augmenté XGBoost + CTGAN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32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XGBoost + CTGAN</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Évolution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AUC-ROC</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0.6454</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0.6539</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+0.0085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F1-score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0.1726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0.0444</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-0.1282 ↓</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Recall</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0.5240</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0.0280</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-0.4960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0.1033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0.1077</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+0.0044 ↑</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scale_pos_weight</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 (ajusté)</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Recalculé après augmentation</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5. Génération TVAE — Sorties réelles</w:t>
      </w:r>
    </w:p>
    <w:p>
      <w:pPr>
        <w:pStyle w:val="Heading2"/>
        <w:spacing w:after="120" w:before="240"/>
      </w:pPr>
      <w:r>
        <w:rPr>
          <w:rFonts w:ascii="Arial" w:cs="Arial" w:eastAsia="Arial" w:hAnsi="Arial"/>
          <w:b/>
          <w:bCs/>
          <w:color w:val="2E75B6"/>
          <w:sz w:val="26"/>
          <w:szCs w:val="26"/>
        </w:rPr>
        <w:t xml:space="preserve">5.1 Architecture</w:t>
      </w:r>
    </w:p>
    <w:p>
      <w:pPr>
        <w:spacing w:after="80" w:before="80"/>
      </w:pPr>
      <w:r>
        <w:rPr>
          <w:rFonts w:ascii="Arial" w:cs="Arial" w:eastAsia="Arial" w:hAnsi="Arial"/>
          <w:sz w:val="22"/>
          <w:szCs w:val="22"/>
        </w:rPr>
        <w:t xml:space="preserve">Tabular Variational Autoencoder (Xu et al., MIT, 2019). L'encodeur compresse les sinistres dans un espace latent gaussien, le décodeur les reconstruit. Pour générer : on tire aléatoirement dans l'espace latent et le décodeur produit un sinistre synthétique. Plus stable que CTGAN (pas de mode collapse).</w:t>
      </w:r>
    </w:p>
    <w:p>
      <w:pPr>
        <w:spacing w:after="80" w:before="80"/>
      </w:pPr>
    </w:p>
    <w:p>
      <w:pPr>
        <w:pStyle w:val="Heading2"/>
        <w:spacing w:after="120" w:before="240"/>
      </w:pPr>
      <w:r>
        <w:rPr>
          <w:rFonts w:ascii="Arial" w:cs="Arial" w:eastAsia="Arial" w:hAnsi="Arial"/>
          <w:b/>
          <w:bCs/>
          <w:color w:val="2E75B6"/>
          <w:sz w:val="26"/>
          <w:szCs w:val="26"/>
        </w:rPr>
        <w:t xml:space="preserve">5.2 Paramètres et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Données d'entraînement</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2 998 sinistres réels du train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Epochs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Loss finale (ELBO)</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-74.15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Temps d'entraînement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minute 40 secondes</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Synthétiques générés</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5 000</w:t>
            </w:r>
          </w:p>
        </w:tc>
      </w:tr>
    </w:tbl>
    <w:p>
      <w:pPr>
        <w:spacing w:after="80" w:before="80"/>
      </w:pPr>
    </w:p>
    <w:p>
      <w:pPr>
        <w:pStyle w:val="Heading2"/>
        <w:spacing w:after="120" w:before="240"/>
      </w:pPr>
      <w:r>
        <w:rPr>
          <w:rFonts w:ascii="Arial" w:cs="Arial" w:eastAsia="Arial" w:hAnsi="Arial"/>
          <w:b/>
          <w:bCs/>
          <w:color w:val="2E75B6"/>
          <w:sz w:val="26"/>
          <w:szCs w:val="26"/>
        </w:rPr>
        <w:t xml:space="preserve">5.3 Résultats du classifieur augmenté XGBoost + TVAE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32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XGBoost + TVAE</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Évolution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AUC-ROC</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0.6454</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0.6518</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+0.0064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F1-score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0.1726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0.0431</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-0.1295 ↓</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Recall</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0.5240</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0.0267</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-0.4973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0.1033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0.1130</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+0.0097 ↑</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6. SMOTE — Baseline d'augmentation classique</w:t>
      </w:r>
    </w:p>
    <w:p>
      <w:pPr>
        <w:spacing w:after="80" w:before="80"/>
      </w:pPr>
      <w:r>
        <w:rPr>
          <w:rFonts w:ascii="Arial" w:cs="Arial" w:eastAsia="Arial" w:hAnsi="Arial"/>
          <w:sz w:val="22"/>
          <w:szCs w:val="22"/>
        </w:rPr>
        <w:t xml:space="preserve">SMOTE interpole entre des sinistres existants et leurs voisins — il ne génère pas de nouvelles distributions. Inclus comme référence pour valider l'apport du deep learning génératif.</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 / Métrique</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Train augmenté</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87 750 polices — 43 875 sinistres (50%)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scale_pos_weight ajusté</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(parfaitement équilibré)</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AUC-ROC</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0.6473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F1-score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0.0562</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Recall</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0.0373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Precision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0.1138</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7. Génération LLM — Ollama/phi3.5</w:t>
      </w:r>
    </w:p>
    <w:p>
      <w:pPr>
        <w:pStyle w:val="Heading2"/>
        <w:spacing w:after="120" w:before="240"/>
      </w:pPr>
      <w:r>
        <w:rPr>
          <w:rFonts w:ascii="Arial" w:cs="Arial" w:eastAsia="Arial" w:hAnsi="Arial"/>
          <w:b/>
          <w:bCs/>
          <w:color w:val="2E75B6"/>
          <w:sz w:val="26"/>
          <w:szCs w:val="26"/>
        </w:rPr>
        <w:t xml:space="preserve">7.1 Architecture</w:t>
      </w:r>
    </w:p>
    <w:p>
      <w:pPr>
        <w:spacing w:after="80" w:before="80"/>
      </w:pPr>
      <w:r>
        <w:rPr>
          <w:rFonts w:ascii="Arial" w:cs="Arial" w:eastAsia="Arial" w:hAnsi="Arial"/>
          <w:sz w:val="22"/>
          <w:szCs w:val="22"/>
        </w:rPr>
        <w:t xml:space="preserve">Ollama est un serveur LLM local — il fait tourner le modèle phi3.5 (Microsoft) directement sur la machine, sans frais d'API et sans envoi de données sur internet. L'API est compatible OpenAI, ce qui facilite l'intégration.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Serveur</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Ollama — port 11434 (local)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Modèle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phi3.5 (Microsoft) — 2.2 GB</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API</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OpenAI-compatible (base_url=localhost:11434/v1)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Température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 — réponses précises, peu créatives</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Max tokens</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 descriptions générées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r>
    </w:tbl>
    <w:p>
      <w:pPr>
        <w:spacing w:after="80" w:before="80"/>
      </w:pPr>
    </w:p>
    <w:p>
      <w:pPr>
        <w:pStyle w:val="Heading2"/>
        <w:spacing w:after="120" w:before="240"/>
      </w:pPr>
      <w:r>
        <w:rPr>
          <w:rFonts w:ascii="Arial" w:cs="Arial" w:eastAsia="Arial" w:hAnsi="Arial"/>
          <w:b/>
          <w:bCs/>
          <w:color w:val="2E75B6"/>
          <w:sz w:val="26"/>
          <w:szCs w:val="26"/>
        </w:rPr>
        <w:t xml:space="preserve">7.2 Exemple de sortie réelle</w:t>
      </w:r>
    </w:p>
    <w:p>
      <w:pPr>
        <w:spacing w:after="80" w:before="80"/>
      </w:pPr>
      <w:r>
        <w:rPr>
          <w:rFonts w:ascii="Arial" w:cs="Arial" w:eastAsia="Arial" w:hAnsi="Arial"/>
          <w:sz w:val="22"/>
          <w:szCs w:val="22"/>
        </w:rPr>
        <w:t xml:space="preserve">Données d'entrée :</w:t>
      </w:r>
    </w:p>
    <w:p>
      <w:pPr>
        <w:shd w:fill="F4F4F4" w:val="clear"/>
        <w:spacing w:after="40" w:before="40"/>
        <w:ind w:left="560"/>
      </w:pPr>
      <w:r>
        <w:rPr>
          <w:rFonts w:ascii="Courier New" w:cs="Courier New" w:eastAsia="Courier New" w:hAnsi="Courier New"/>
          <w:color w:val="333333"/>
          <w:sz w:val="18"/>
          <w:szCs w:val="18"/>
        </w:rPr>
        <w:t xml:space="preserve">customer_age: 41, vehicle_age: 1.6, subscription_length: 10.2</w:t>
      </w:r>
    </w:p>
    <w:p>
      <w:pPr>
        <w:shd w:fill="F4F4F4" w:val="clear"/>
        <w:spacing w:after="40" w:before="40"/>
        <w:ind w:left="560"/>
      </w:pPr>
      <w:r>
        <w:rPr>
          <w:rFonts w:ascii="Courier New" w:cs="Courier New" w:eastAsia="Courier New" w:hAnsi="Courier New"/>
          <w:color w:val="333333"/>
          <w:sz w:val="18"/>
          <w:szCs w:val="18"/>
        </w:rPr>
        <w:t xml:space="preserve">region_density: 27003, fuel_type: Diesel, segment: C2</w:t>
      </w:r>
    </w:p>
    <w:p>
      <w:pPr>
        <w:shd w:fill="F4F4F4" w:val="clear"/>
        <w:spacing w:after="40" w:before="40"/>
        <w:ind w:left="560"/>
      </w:pPr>
      <w:r>
        <w:rPr>
          <w:rFonts w:ascii="Courier New" w:cs="Courier New" w:eastAsia="Courier New" w:hAnsi="Courier New"/>
          <w:color w:val="333333"/>
          <w:sz w:val="18"/>
          <w:szCs w:val="18"/>
        </w:rPr>
        <w:t xml:space="preserve">transmission_type: Automatic, airbags: 6, ncap_rating: 3</w:t>
      </w:r>
    </w:p>
    <w:p>
      <w:pPr>
        <w:spacing w:after="80" w:before="80"/>
      </w:pPr>
    </w:p>
    <w:p>
      <w:pPr>
        <w:spacing w:after="80" w:before="80"/>
      </w:pPr>
      <w:r>
        <w:rPr>
          <w:rFonts w:ascii="Arial" w:cs="Arial" w:eastAsia="Arial" w:hAnsi="Arial"/>
          <w:sz w:val="22"/>
          <w:szCs w:val="22"/>
        </w:rPr>
        <w:t xml:space="preserve">Description générée par phi3.5 :</w:t>
      </w:r>
    </w:p>
    <w:p>
      <w:pPr>
        <w:shd w:fill="EBF5FB" w:val="clear"/>
        <w:spacing w:after="80" w:before="80"/>
        <w:ind w:left="560"/>
      </w:pPr>
      <w:r>
        <w:rPr>
          <w:rFonts w:ascii="Arial" w:cs="Arial" w:eastAsia="Arial" w:hAnsi="Arial"/>
          <w:i/>
          <w:iCs/>
          <w:sz w:val="20"/>
          <w:szCs w:val="20"/>
        </w:rPr>
        <w:t xml:space="preserve">Ce client automobile de 41 ans possède un véhicule C2 segment avec transmission automatique et six airbags intégrés. Le véhicule a environ 1,6 an depuis sa production. Situé dans un endroit dense en population (27003), le client utilise probablement du carburant diesel pour son trajet quotidien. Avec une durée de souscription à l'assurance d'environ 10,2 ans, cela indique un engagement soutenu avec la compagnie d'assurance et peut impliquer des facteurs comme le coût du risque plus élevé. La classification NCAP est 3, indiquant un niveau modéré d'historique accidentel potentiel. (98 mots)</w:t>
      </w:r>
    </w:p>
    <w:p>
      <w:pPr>
        <w:spacing w:after="80" w:before="80"/>
      </w:pPr>
    </w:p>
    <w:p>
      <w:pPr>
        <w:pStyle w:val="Heading2"/>
        <w:spacing w:after="120" w:before="240"/>
      </w:pPr>
      <w:r>
        <w:rPr>
          <w:rFonts w:ascii="Arial" w:cs="Arial" w:eastAsia="Arial" w:hAnsi="Arial"/>
          <w:b/>
          <w:bCs/>
          <w:color w:val="2E75B6"/>
          <w:sz w:val="26"/>
          <w:szCs w:val="26"/>
        </w:rPr>
        <w:t xml:space="preserve">7.3 Fichier produit</w:t>
      </w:r>
    </w:p>
    <w:p>
      <w:pPr>
        <w:pStyle w:val="ListParagraph"/>
        <w:numPr>
          <w:ilvl w:val="0"/>
          <w:numId w:val="2"/>
        </w:numPr>
        <w:spacing w:after="40" w:before="40"/>
      </w:pPr>
      <w:r>
        <w:rPr>
          <w:rFonts w:ascii="Arial" w:cs="Arial" w:eastAsia="Arial" w:hAnsi="Arial"/>
          <w:sz w:val="22"/>
          <w:szCs w:val="22"/>
        </w:rPr>
        <w:t xml:space="preserve">outputs/llm/sinistres_avec_descriptions.csv — 10 sinistres avec leurs descriptions LLM</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8. Tableau comparatif final — Sorties réelles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300"/>
        <w:gridCol w:w="1300"/>
        <w:gridCol w:w="1300"/>
        <w:gridCol w:w="20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AUC-ROC</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XGBoost Baseline</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0.6454</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0.1726</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0.5240</w:t>
            </w:r>
          </w:p>
        </w:tc>
        <w:tc>
          <w:tcPr>
            <w:tcW w:type="dxa" w:w="2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0.1033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XGBoost + SMOTE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0.6473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0.0562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0.0373</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0.1138</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XGBoost + CTGAN</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0.6539</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0.0444</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0.0280</w:t>
            </w:r>
          </w:p>
        </w:tc>
        <w:tc>
          <w:tcPr>
            <w:tcW w:type="dxa" w:w="2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0.1077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XGBoost + TVAE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0.6518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0.0431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0.0267</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0.1130</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9. Analyse des résultats</w:t>
      </w:r>
    </w:p>
    <w:p>
      <w:pPr>
        <w:pStyle w:val="Heading2"/>
        <w:spacing w:after="120" w:before="240"/>
      </w:pPr>
      <w:r>
        <w:rPr>
          <w:rFonts w:ascii="Arial" w:cs="Arial" w:eastAsia="Arial" w:hAnsi="Arial"/>
          <w:b/>
          <w:bCs/>
          <w:color w:val="2E75B6"/>
          <w:sz w:val="26"/>
          <w:szCs w:val="26"/>
        </w:rPr>
        <w:t xml:space="preserve">9.1 Observations clés</w:t>
      </w:r>
    </w:p>
    <w:p>
      <w:pPr>
        <w:pStyle w:val="ListParagraph"/>
        <w:numPr>
          <w:ilvl w:val="0"/>
          <w:numId w:val="2"/>
        </w:numPr>
        <w:spacing w:after="40" w:before="40"/>
      </w:pPr>
      <w:r>
        <w:rPr>
          <w:rFonts w:ascii="Arial" w:cs="Arial" w:eastAsia="Arial" w:hAnsi="Arial"/>
          <w:sz w:val="22"/>
          <w:szCs w:val="22"/>
        </w:rPr>
        <w:t xml:space="preserve">Le baseline XGBoost obtient le meilleur F1 (0.1726) et Recall (0.5240)</w:t>
      </w:r>
    </w:p>
    <w:p>
      <w:pPr>
        <w:pStyle w:val="ListParagraph"/>
        <w:numPr>
          <w:ilvl w:val="0"/>
          <w:numId w:val="2"/>
        </w:numPr>
        <w:spacing w:after="40" w:before="40"/>
      </w:pPr>
      <w:r>
        <w:rPr>
          <w:rFonts w:ascii="Arial" w:cs="Arial" w:eastAsia="Arial" w:hAnsi="Arial"/>
          <w:sz w:val="22"/>
          <w:szCs w:val="22"/>
        </w:rPr>
        <w:t xml:space="preserve">CTGAN améliore l'AUC (+0.0085) mais dégrade le F1 et le Recall</w:t>
      </w:r>
    </w:p>
    <w:p>
      <w:pPr>
        <w:pStyle w:val="ListParagraph"/>
        <w:numPr>
          <w:ilvl w:val="0"/>
          <w:numId w:val="2"/>
        </w:numPr>
        <w:spacing w:after="40" w:before="40"/>
      </w:pPr>
      <w:r>
        <w:rPr>
          <w:rFonts w:ascii="Arial" w:cs="Arial" w:eastAsia="Arial" w:hAnsi="Arial"/>
          <w:sz w:val="22"/>
          <w:szCs w:val="22"/>
        </w:rPr>
        <w:t xml:space="preserve">TVAE améliore l'AUC (+0.0064) avec des résultats similaires à CTGAN</w:t>
      </w:r>
    </w:p>
    <w:p>
      <w:pPr>
        <w:pStyle w:val="ListParagraph"/>
        <w:numPr>
          <w:ilvl w:val="0"/>
          <w:numId w:val="2"/>
        </w:numPr>
        <w:spacing w:after="40" w:before="40"/>
      </w:pPr>
      <w:r>
        <w:rPr>
          <w:rFonts w:ascii="Arial" w:cs="Arial" w:eastAsia="Arial" w:hAnsi="Arial"/>
          <w:sz w:val="22"/>
          <w:szCs w:val="22"/>
        </w:rPr>
        <w:t xml:space="preserve">SMOTE donne le meilleur F1 parmi les modèles augmentés (0.0562)</w:t>
      </w:r>
    </w:p>
    <w:p>
      <w:pPr>
        <w:spacing w:after="80" w:before="80"/>
      </w:pPr>
    </w:p>
    <w:p>
      <w:pPr>
        <w:pStyle w:val="Heading2"/>
        <w:spacing w:after="120" w:before="240"/>
      </w:pPr>
      <w:r>
        <w:rPr>
          <w:rFonts w:ascii="Arial" w:cs="Arial" w:eastAsia="Arial" w:hAnsi="Arial"/>
          <w:b/>
          <w:bCs/>
          <w:color w:val="2E75B6"/>
          <w:sz w:val="26"/>
          <w:szCs w:val="26"/>
        </w:rPr>
        <w:t xml:space="preserve">9.2 Interprétation</w:t>
      </w:r>
    </w:p>
    <w:p>
      <w:pPr>
        <w:spacing w:after="80" w:before="80"/>
      </w:pPr>
      <w:r>
        <w:rPr>
          <w:rFonts w:ascii="Arial" w:cs="Arial" w:eastAsia="Arial" w:hAnsi="Arial"/>
          <w:sz w:val="22"/>
          <w:szCs w:val="22"/>
        </w:rPr>
        <w:t xml:space="preserve">Le baseline garde le meilleur Recall car son scale_pos_weight=14 force le modèle à détecter les sinistres agressivement. Les modèles augmentés avec scale_pos_weight=5 deviennent plus conservateurs — moins de faux positifs mais plus de sinistres ratés.</w:t>
      </w:r>
    </w:p>
    <w:p>
      <w:pPr>
        <w:spacing w:after="80" w:before="80"/>
      </w:pPr>
      <w:r>
        <w:rPr>
          <w:rFonts w:ascii="Arial" w:cs="Arial" w:eastAsia="Arial" w:hAnsi="Arial"/>
          <w:i/>
          <w:iCs/>
          <w:sz w:val="22"/>
          <w:szCs w:val="22"/>
        </w:rPr>
        <w:t xml:space="preserve">Du point de vue actuariel, le Recall est la métrique prioritaire : manquer un sinistre (FN) est plus coûteux qu'un faux positif (FP). Le baseline reste donc le meilleur modèle opérationnel.</w:t>
      </w:r>
    </w:p>
    <w:p>
      <w:pPr>
        <w:spacing w:after="80" w:before="80"/>
      </w:pPr>
    </w:p>
    <w:p>
      <w:pPr>
        <w:pStyle w:val="Heading2"/>
        <w:spacing w:after="120" w:before="240"/>
      </w:pPr>
      <w:r>
        <w:rPr>
          <w:rFonts w:ascii="Arial" w:cs="Arial" w:eastAsia="Arial" w:hAnsi="Arial"/>
          <w:b/>
          <w:bCs/>
          <w:color w:val="2E75B6"/>
          <w:sz w:val="26"/>
          <w:szCs w:val="26"/>
        </w:rPr>
        <w:t xml:space="preserve">9.3 Valeur ajoutée du LLM</w:t>
      </w:r>
    </w:p>
    <w:p>
      <w:pPr>
        <w:pStyle w:val="ListParagraph"/>
        <w:numPr>
          <w:ilvl w:val="0"/>
          <w:numId w:val="2"/>
        </w:numPr>
        <w:spacing w:after="40" w:before="40"/>
      </w:pPr>
      <w:r>
        <w:rPr>
          <w:rFonts w:ascii="Arial" w:cs="Arial" w:eastAsia="Arial" w:hAnsi="Arial"/>
          <w:sz w:val="22"/>
          <w:szCs w:val="22"/>
        </w:rPr>
        <w:t xml:space="preserve">Enrichissement des dossiers sinistres avec une description textuelle professionnelle</w:t>
      </w:r>
    </w:p>
    <w:p>
      <w:pPr>
        <w:pStyle w:val="ListParagraph"/>
        <w:numPr>
          <w:ilvl w:val="0"/>
          <w:numId w:val="2"/>
        </w:numPr>
        <w:spacing w:after="40" w:before="40"/>
      </w:pPr>
      <w:r>
        <w:rPr>
          <w:rFonts w:ascii="Arial" w:cs="Arial" w:eastAsia="Arial" w:hAnsi="Arial"/>
          <w:sz w:val="22"/>
          <w:szCs w:val="22"/>
        </w:rPr>
        <w:t xml:space="preserve">Automatisation de la rédaction — gain de temps pour les experts sinistres</w:t>
      </w:r>
    </w:p>
    <w:p>
      <w:pPr>
        <w:pStyle w:val="ListParagraph"/>
        <w:numPr>
          <w:ilvl w:val="0"/>
          <w:numId w:val="2"/>
        </w:numPr>
        <w:spacing w:after="40" w:before="40"/>
      </w:pPr>
      <w:r>
        <w:rPr>
          <w:rFonts w:ascii="Arial" w:cs="Arial" w:eastAsia="Arial" w:hAnsi="Arial"/>
          <w:sz w:val="22"/>
          <w:szCs w:val="22"/>
        </w:rPr>
        <w:t xml:space="preserve">Modèle local et gratuit — aucun coût d'API, données confidentielles</w:t>
      </w:r>
    </w:p>
    <w:p>
      <w:pPr>
        <w:pStyle w:val="ListParagraph"/>
        <w:numPr>
          <w:ilvl w:val="0"/>
          <w:numId w:val="2"/>
        </w:numPr>
        <w:spacing w:after="40" w:before="40"/>
      </w:pPr>
      <w:r>
        <w:rPr>
          <w:rFonts w:ascii="Arial" w:cs="Arial" w:eastAsia="Arial" w:hAnsi="Arial"/>
          <w:sz w:val="22"/>
          <w:szCs w:val="22"/>
        </w:rPr>
        <w:t xml:space="preserve">Qualité des descriptions : 98 mots, ton professionnel, basé uniquement sur les données</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10. Fichiers produits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outputs/models/xgb_baseline.pkl</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Modèle XGBoost baseline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outputs/models/xgb_ctgan.pkl</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Modèle XGBoost augmenté CTGAN</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outputs/models/xgb_tvae.pkl</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Modèle XGBoost augmenté TVAE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outputs/models/xgb_smote.pkl</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Modèle XGBoost augmenté SMOTE</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outputs/models/ctgan_model.pkl</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Générateur CTGAN entraîné</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outputs/models/tvae_model.pkl</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Générateur TVAE entraîné</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outputs/models/model_info.json</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Métadonnées pour Streamlit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outputs/synthetic/synthetic_ctgan.csv</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5 000 sinistres synthétiques CTGAN</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outputs/synthetic/synthetic_tvae.csv</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5 000 sinistres synthétiques TVAE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outputs/llm/sinistres_avec_descriptions.csv</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sinistres avec descriptions LLM</w:t>
            </w:r>
          </w:p>
        </w:tc>
      </w:tr>
      <w:tr>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outputs/resultats_modelisation.csv</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Tableau comparatif des métriques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Projet Génération de données synthétiques — ISFA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2026-05-09T11:25:02.255Z</dcterms:created>
  <dcterms:modified xsi:type="dcterms:W3CDTF">2026-05-09T11:25:02.256Z</dcterms:modified>
</cp:coreProperties>
</file>

<file path=docProps/custom.xml><?xml version="1.0" encoding="utf-8"?>
<Properties xmlns="http://schemas.openxmlformats.org/officeDocument/2006/custom-properties" xmlns:vt="http://schemas.openxmlformats.org/officeDocument/2006/docPropsVTypes"/>
</file>