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40"/>
          <w:szCs w:val="40"/>
        </w:rPr>
        <w:t xml:space="preserve">Documentation Technique</w:t>
      </w:r>
    </w:p>
    <w:p>
      <w:pPr>
        <w:spacing w:after="80" w:before="0"/>
        <w:jc w:val="center"/>
      </w:pPr>
      <w:r>
        <w:rPr>
          <w:rFonts w:ascii="Arial" w:cs="Arial" w:eastAsia="Arial" w:hAnsi="Arial"/>
          <w:b/>
          <w:bCs/>
          <w:color w:val="2E75B6"/>
          <w:sz w:val="28"/>
          <w:szCs w:val="28"/>
        </w:rPr>
        <w:t xml:space="preserve">Étape 1 — Data Acquisition &amp; Prétraitement</w:t>
      </w:r>
    </w:p>
    <w:p>
      <w:pPr>
        <w:spacing w:after="80" w:before="0"/>
        <w:jc w:val="center"/>
      </w:pPr>
      <w:r>
        <w:rPr>
          <w:rFonts w:ascii="Courier New" w:cs="Courier New" w:eastAsia="Courier New" w:hAnsi="Courier New"/>
          <w:color w:val="C0392B"/>
          <w:sz w:val="22"/>
          <w:szCs w:val="22"/>
        </w:rPr>
        <w:t xml:space="preserve">etape1_preprocessing.py</w:t>
      </w:r>
    </w:p>
    <w:p>
      <w:pPr>
        <w:spacing w:after="480" w:before="0"/>
        <w:jc w:val="center"/>
      </w:pPr>
      <w:r>
        <w:rPr>
          <w:rFonts w:ascii="Arial" w:cs="Arial" w:eastAsia="Arial" w:hAnsi="Arial"/>
          <w:i/>
          <w:iCs/>
          <w:color w:val="555555"/>
          <w:sz w:val="20"/>
          <w:szCs w:val="20"/>
        </w:rPr>
        <w:t xml:space="preserve">Projet : Génération de données synthétiques de sinistres pour la tarification en assurance</w:t>
      </w:r>
    </w:p>
    <w:p>
      <w:pPr>
        <w:pBdr>
          <w:bottom w:val="single" w:color="CCCCCC" w:sz="4" w:space="1"/>
        </w:pBdr>
        <w:spacing w:after="160" w:before="160"/>
      </w:pPr>
    </w:p>
    <w:p>
      <w:pPr>
        <w:pStyle w:val="Heading1"/>
        <w:spacing w:after="160" w:before="320"/>
      </w:pPr>
      <w:r>
        <w:rPr>
          <w:rFonts w:ascii="Arial" w:cs="Arial" w:eastAsia="Arial" w:hAnsi="Arial"/>
          <w:b/>
          <w:bCs/>
          <w:color w:val="1F4E79"/>
          <w:sz w:val="32"/>
          <w:szCs w:val="32"/>
        </w:rPr>
        <w:t xml:space="preserve">1. Contexte et objectif</w:t>
      </w:r>
    </w:p>
    <w:p>
      <w:pPr>
        <w:spacing w:after="80" w:before="80"/>
      </w:pPr>
      <w:r>
        <w:rPr>
          <w:rFonts w:ascii="Arial" w:cs="Arial" w:eastAsia="Arial" w:hAnsi="Arial"/>
          <w:sz w:val="22"/>
          <w:szCs w:val="22"/>
        </w:rPr>
        <w:t xml:space="preserve">L'étape 1 constitue le fondement du pipeline complet. Elle transforme les données brutes du dataset Insurance Claims (58 592 polices, 41 variables) en un format numérique propre, cohérent et exploitable par les modèles de deep learning génératif des étapes suivantes.</w:t>
      </w:r>
    </w:p>
    <w:p>
      <w:pPr>
        <w:spacing w:after="80" w:before="80"/>
      </w:pPr>
      <w:r>
        <w:rPr>
          <w:rFonts w:ascii="Arial" w:cs="Arial" w:eastAsia="Arial" w:hAnsi="Arial"/>
          <w:sz w:val="22"/>
          <w:szCs w:val="22"/>
        </w:rPr>
        <w:t xml:space="preserve">Le dataset présente un déséquilibre de classes sévère : seulement 6,4% des polices ont généré un sinistre. C'est ce constat qui motive l'ensemble du projet de génération synthétique.</w:t>
      </w:r>
    </w:p>
    <w:p>
      <w:pPr>
        <w:spacing w:after="80" w:before="80"/>
      </w:pPr>
    </w:p>
    <w:p>
      <w:pPr>
        <w:pStyle w:val="Heading1"/>
        <w:spacing w:after="160" w:before="320"/>
      </w:pPr>
      <w:r>
        <w:rPr>
          <w:rFonts w:ascii="Arial" w:cs="Arial" w:eastAsia="Arial" w:hAnsi="Arial"/>
          <w:b/>
          <w:bCs/>
          <w:color w:val="1F4E79"/>
          <w:sz w:val="32"/>
          <w:szCs w:val="32"/>
        </w:rPr>
        <w:t xml:space="preserve">2. Structure du script</w:t>
      </w:r>
    </w:p>
    <w:p>
      <w:pPr>
        <w:spacing w:after="80" w:before="80"/>
      </w:pPr>
      <w:r>
        <w:rPr>
          <w:rFonts w:ascii="Arial" w:cs="Arial" w:eastAsia="Arial" w:hAnsi="Arial"/>
          <w:sz w:val="22"/>
          <w:szCs w:val="22"/>
        </w:rPr>
        <w:t xml:space="preserve">Le script est organisé en 8 blocs séquentiels numérotés, chacun correspondant à une transformation précise :</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w:t>
            </w:r>
          </w:p>
        </w:tc>
        <w:tc>
          <w:tcPr>
            <w:tcW w:type="dxa" w:w="52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1</w:t>
            </w:r>
          </w:p>
        </w:tc>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Chargement</w:t>
            </w:r>
          </w:p>
        </w:tc>
        <w:tc>
          <w:tcPr>
            <w:tcW w:type="dxa" w:w="52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Lecture du CSV brut avec pandas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2</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Suppression identifiant</w:t>
            </w:r>
          </w:p>
        </w:tc>
        <w:tc>
          <w:tcPr>
            <w:tcW w:type="dxa" w:w="5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Retrait de policy_id (non informatif)</w:t>
            </w:r>
          </w:p>
        </w:tc>
      </w:tr>
      <w:tr>
        <w:tc>
          <w:tcPr>
            <w:tcW w:type="dxa" w:w="8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3</w:t>
            </w:r>
          </w:p>
        </w:tc>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Parsing max_torque / max_power</w:t>
            </w:r>
          </w:p>
        </w:tc>
        <w:tc>
          <w:tcPr>
            <w:tcW w:type="dxa" w:w="52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Extraction de 4 valeurs numériques via regex</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4</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Encodage binaire</w:t>
            </w:r>
          </w:p>
        </w:tc>
        <w:tc>
          <w:tcPr>
            <w:tcW w:type="dxa" w:w="5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Conversion Yes/No → 0/1 sur 17 colonnes</w:t>
            </w:r>
          </w:p>
        </w:tc>
      </w:tr>
      <w:tr>
        <w:tc>
          <w:tcPr>
            <w:tcW w:type="dxa" w:w="8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5</w:t>
            </w:r>
          </w:p>
        </w:tc>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One-hot encoding</w:t>
            </w:r>
          </w:p>
        </w:tc>
        <w:tc>
          <w:tcPr>
            <w:tcW w:type="dxa" w:w="52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Encodage de 8 variables catégorielles nominales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6</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Vérification déséquilibre</w:t>
            </w:r>
          </w:p>
        </w:tc>
        <w:tc>
          <w:tcPr>
            <w:tcW w:type="dxa" w:w="5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Calcul et affichage du ratio de classes</w:t>
            </w:r>
          </w:p>
        </w:tc>
      </w:tr>
      <w:tr>
        <w:tc>
          <w:tcPr>
            <w:tcW w:type="dxa" w:w="8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7</w:t>
            </w:r>
          </w:p>
        </w:tc>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Normalisation</w:t>
            </w:r>
          </w:p>
        </w:tc>
        <w:tc>
          <w:tcPr>
            <w:tcW w:type="dxa" w:w="52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StandardScaler sur 15 colonnes numériques continues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8</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Sauvegarde</w:t>
            </w:r>
          </w:p>
        </w:tc>
        <w:tc>
          <w:tcPr>
            <w:tcW w:type="dxa" w:w="5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Export de 2 fichiers CSV dans outputs/</w:t>
            </w:r>
          </w:p>
        </w:tc>
      </w:tr>
    </w:tbl>
    <w:p>
      <w:pPr>
        <w:spacing w:after="80" w:before="160"/>
      </w:pPr>
    </w:p>
    <w:p>
      <w:pPr>
        <w:pStyle w:val="Heading1"/>
        <w:spacing w:after="160" w:before="320"/>
      </w:pPr>
      <w:r>
        <w:rPr>
          <w:rFonts w:ascii="Arial" w:cs="Arial" w:eastAsia="Arial" w:hAnsi="Arial"/>
          <w:b/>
          <w:bCs/>
          <w:color w:val="1F4E79"/>
          <w:sz w:val="32"/>
          <w:szCs w:val="32"/>
        </w:rPr>
        <w:t xml:space="preserve">3. Détail des transformations</w:t>
      </w:r>
    </w:p>
    <w:p>
      <w:pPr>
        <w:pStyle w:val="Heading2"/>
        <w:spacing w:after="120" w:before="240"/>
      </w:pPr>
      <w:r>
        <w:rPr>
          <w:rFonts w:ascii="Arial" w:cs="Arial" w:eastAsia="Arial" w:hAnsi="Arial"/>
          <w:b/>
          <w:bCs/>
          <w:color w:val="2E75B6"/>
          <w:sz w:val="26"/>
          <w:szCs w:val="26"/>
        </w:rPr>
        <w:t xml:space="preserve">3.1 Chargement des données</w:t>
      </w:r>
    </w:p>
    <w:p>
      <w:pPr>
        <w:spacing w:after="80" w:before="80"/>
      </w:pPr>
      <w:r>
        <w:rPr>
          <w:rFonts w:ascii="Arial" w:cs="Arial" w:eastAsia="Arial" w:hAnsi="Arial"/>
          <w:sz w:val="22"/>
          <w:szCs w:val="22"/>
        </w:rPr>
        <w:t xml:space="preserve">Lecture du fichier source avec séparateur virgule. Vérification immédiate de l'absence de valeurs manquantes.</w:t>
      </w:r>
    </w:p>
    <w:p>
      <w:pPr>
        <w:spacing w:after="60" w:before="60"/>
        <w:ind w:left="720"/>
      </w:pPr>
      <w:r>
        <w:rPr>
          <w:rFonts w:ascii="Courier New" w:cs="Courier New" w:eastAsia="Courier New" w:hAnsi="Courier New"/>
          <w:color w:val="C0392B"/>
          <w:sz w:val="20"/>
          <w:szCs w:val="20"/>
        </w:rPr>
        <w:t xml:space="preserve">df_raw = pd.read_csv('../data/Insurance claims data.csv', sep=',')</w:t>
      </w:r>
    </w:p>
    <w:p>
      <w:pPr>
        <w:pStyle w:val="ListParagraph"/>
        <w:numPr>
          <w:ilvl w:val="0"/>
          <w:numId w:val="2"/>
        </w:numPr>
        <w:spacing w:after="40" w:before="40"/>
      </w:pPr>
      <w:r>
        <w:rPr>
          <w:rFonts w:ascii="Arial" w:cs="Arial" w:eastAsia="Arial" w:hAnsi="Arial"/>
          <w:b w:val="false"/>
          <w:bCs w:val="false"/>
          <w:sz w:val="22"/>
          <w:szCs w:val="22"/>
        </w:rPr>
        <w:t xml:space="preserve">58 592 lignes × 41 colonnes</w:t>
      </w:r>
    </w:p>
    <w:p>
      <w:pPr>
        <w:pStyle w:val="ListParagraph"/>
        <w:numPr>
          <w:ilvl w:val="0"/>
          <w:numId w:val="2"/>
        </w:numPr>
        <w:spacing w:after="40" w:before="40"/>
      </w:pPr>
      <w:r>
        <w:rPr>
          <w:rFonts w:ascii="Arial" w:cs="Arial" w:eastAsia="Arial" w:hAnsi="Arial"/>
          <w:b w:val="false"/>
          <w:bCs w:val="false"/>
          <w:sz w:val="22"/>
          <w:szCs w:val="22"/>
        </w:rPr>
        <w:t xml:space="preserve">0 valeur manquante — aucune imputation nécessaire</w:t>
      </w:r>
    </w:p>
    <w:p>
      <w:pPr>
        <w:spacing w:after="80" w:before="80"/>
      </w:pPr>
    </w:p>
    <w:p>
      <w:pPr>
        <w:pStyle w:val="Heading2"/>
        <w:spacing w:after="120" w:before="240"/>
      </w:pPr>
      <w:r>
        <w:rPr>
          <w:rFonts w:ascii="Arial" w:cs="Arial" w:eastAsia="Arial" w:hAnsi="Arial"/>
          <w:b/>
          <w:bCs/>
          <w:color w:val="2E75B6"/>
          <w:sz w:val="26"/>
          <w:szCs w:val="26"/>
        </w:rPr>
        <w:t xml:space="preserve">3.2 Suppression de policy_id</w:t>
      </w:r>
    </w:p>
    <w:p>
      <w:pPr>
        <w:spacing w:after="80" w:before="80"/>
      </w:pPr>
      <w:r>
        <w:rPr>
          <w:rFonts w:ascii="Arial" w:cs="Arial" w:eastAsia="Arial" w:hAnsi="Arial"/>
          <w:sz w:val="22"/>
          <w:szCs w:val="22"/>
        </w:rPr>
        <w:t xml:space="preserve">L'identifiant unique de chaque police ne contient aucune information prédictive sur le risque. Le conserver introduirait du surapprentissage sur l'identifiant et poserait un problème de confidentialité.</w:t>
      </w:r>
    </w:p>
    <w:p>
      <w:pPr>
        <w:spacing w:after="60" w:before="60"/>
        <w:ind w:left="720"/>
      </w:pPr>
      <w:r>
        <w:rPr>
          <w:rFonts w:ascii="Courier New" w:cs="Courier New" w:eastAsia="Courier New" w:hAnsi="Courier New"/>
          <w:color w:val="C0392B"/>
          <w:sz w:val="20"/>
          <w:szCs w:val="20"/>
        </w:rPr>
        <w:t xml:space="preserve">df = df_raw.drop(columns=['policy_id'])</w:t>
      </w:r>
    </w:p>
    <w:p>
      <w:pPr>
        <w:pStyle w:val="ListParagraph"/>
        <w:numPr>
          <w:ilvl w:val="0"/>
          <w:numId w:val="2"/>
        </w:numPr>
        <w:spacing w:after="40" w:before="40"/>
      </w:pPr>
      <w:r>
        <w:rPr>
          <w:rFonts w:ascii="Arial" w:cs="Arial" w:eastAsia="Arial" w:hAnsi="Arial"/>
          <w:b w:val="false"/>
          <w:bCs w:val="false"/>
          <w:sz w:val="22"/>
          <w:szCs w:val="22"/>
        </w:rPr>
        <w:t xml:space="preserve">40 colonnes restantes après suppression</w:t>
      </w:r>
    </w:p>
    <w:p>
      <w:pPr>
        <w:spacing w:after="80" w:before="80"/>
      </w:pPr>
    </w:p>
    <w:p>
      <w:pPr>
        <w:pStyle w:val="Heading2"/>
        <w:spacing w:after="120" w:before="240"/>
      </w:pPr>
      <w:r>
        <w:rPr>
          <w:rFonts w:ascii="Arial" w:cs="Arial" w:eastAsia="Arial" w:hAnsi="Arial"/>
          <w:b/>
          <w:bCs/>
          <w:color w:val="2E75B6"/>
          <w:sz w:val="26"/>
          <w:szCs w:val="26"/>
        </w:rPr>
        <w:t xml:space="preserve">3.3 Parsing de max_torque et max_power</w:t>
      </w:r>
    </w:p>
    <w:p>
      <w:pPr>
        <w:spacing w:after="80" w:before="80"/>
      </w:pPr>
      <w:r>
        <w:rPr>
          <w:rFonts w:ascii="Arial" w:cs="Arial" w:eastAsia="Arial" w:hAnsi="Arial"/>
          <w:sz w:val="22"/>
          <w:szCs w:val="22"/>
        </w:rPr>
        <w:t xml:space="preserve">Ces deux colonnes arrivent sous forme de chaînes de caractères non exploitables directement par un modèle :</w:t>
      </w:r>
    </w:p>
    <w:p>
      <w:pPr>
        <w:pStyle w:val="ListParagraph"/>
        <w:numPr>
          <w:ilvl w:val="0"/>
          <w:numId w:val="2"/>
        </w:numPr>
        <w:spacing w:after="40" w:before="40"/>
      </w:pPr>
      <w:r>
        <w:rPr>
          <w:rFonts w:ascii="Arial" w:cs="Arial" w:eastAsia="Arial" w:hAnsi="Arial"/>
          <w:b w:val="false"/>
          <w:bCs w:val="false"/>
          <w:sz w:val="22"/>
          <w:szCs w:val="22"/>
        </w:rPr>
        <w:t xml:space="preserve">max_torque : format "250Nm@2750rpm"</w:t>
      </w:r>
    </w:p>
    <w:p>
      <w:pPr>
        <w:pStyle w:val="ListParagraph"/>
        <w:numPr>
          <w:ilvl w:val="0"/>
          <w:numId w:val="2"/>
        </w:numPr>
        <w:spacing w:after="40" w:before="40"/>
      </w:pPr>
      <w:r>
        <w:rPr>
          <w:rFonts w:ascii="Arial" w:cs="Arial" w:eastAsia="Arial" w:hAnsi="Arial"/>
          <w:b w:val="false"/>
          <w:bCs w:val="false"/>
          <w:sz w:val="22"/>
          <w:szCs w:val="22"/>
        </w:rPr>
        <w:t xml:space="preserve">max_power : format "113.45bhp@4000rpm"</w:t>
      </w:r>
    </w:p>
    <w:p>
      <w:pPr>
        <w:spacing w:after="80" w:before="80"/>
      </w:pPr>
      <w:r>
        <w:rPr>
          <w:rFonts w:ascii="Arial" w:cs="Arial" w:eastAsia="Arial" w:hAnsi="Arial"/>
          <w:sz w:val="22"/>
          <w:szCs w:val="22"/>
        </w:rPr>
        <w:t xml:space="preserve">Des expressions régulières (regex) extraient les valeurs numériques contenues dans ces chaînes, produisant 4 nouvelles colonnes :</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Colonne créée</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Unité</w:t>
            </w:r>
          </w:p>
        </w:tc>
        <w:tc>
          <w:tcPr>
            <w:tcW w:type="dxa" w:w="45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Signification</w:t>
            </w:r>
          </w:p>
        </w:tc>
      </w:tr>
      <w:tr>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torque_nm</w:t>
            </w:r>
          </w:p>
        </w:tc>
        <w:tc>
          <w:tcPr>
            <w:tcW w:type="dxa" w:w="1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Nm</w:t>
            </w:r>
          </w:p>
        </w:tc>
        <w:tc>
          <w:tcPr>
            <w:tcW w:type="dxa" w:w="45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Couple moteur en Newton-mètres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torque_rpm</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rpm</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Régime auquel le couple est atteint</w:t>
            </w:r>
          </w:p>
        </w:tc>
      </w:tr>
      <w:tr>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power_bhp</w:t>
            </w:r>
          </w:p>
        </w:tc>
        <w:tc>
          <w:tcPr>
            <w:tcW w:type="dxa" w:w="1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bhp</w:t>
            </w:r>
          </w:p>
        </w:tc>
        <w:tc>
          <w:tcPr>
            <w:tcW w:type="dxa" w:w="45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Puissance en chevaux-vapeur</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power_rpm</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rpm</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Régime auquel la puissance est atteinte</w:t>
            </w:r>
          </w:p>
        </w:tc>
      </w:tr>
    </w:tbl>
    <w:p>
      <w:pPr>
        <w:spacing w:after="80" w:before="80"/>
      </w:pPr>
    </w:p>
    <w:p>
      <w:pPr>
        <w:spacing w:after="80" w:before="80"/>
      </w:pPr>
      <w:r>
        <w:rPr>
          <w:rFonts w:ascii="Arial" w:cs="Arial" w:eastAsia="Arial" w:hAnsi="Arial"/>
          <w:sz w:val="22"/>
          <w:szCs w:val="22"/>
        </w:rPr>
        <w:t xml:space="preserve">Les colonnes textuelles originales sont ensuite supprimées. Aucun NaN n'est produit sur le dataset complet.</w:t>
      </w:r>
    </w:p>
    <w:p>
      <w:pPr>
        <w:spacing w:after="80" w:before="80"/>
      </w:pPr>
    </w:p>
    <w:p>
      <w:pPr>
        <w:pStyle w:val="Heading2"/>
        <w:spacing w:after="120" w:before="240"/>
      </w:pPr>
      <w:r>
        <w:rPr>
          <w:rFonts w:ascii="Arial" w:cs="Arial" w:eastAsia="Arial" w:hAnsi="Arial"/>
          <w:b/>
          <w:bCs/>
          <w:color w:val="2E75B6"/>
          <w:sz w:val="26"/>
          <w:szCs w:val="26"/>
        </w:rPr>
        <w:t xml:space="preserve">3.4 Encodage binaire Yes/No → 0/1</w:t>
      </w:r>
    </w:p>
    <w:p>
      <w:pPr>
        <w:spacing w:after="80" w:before="80"/>
      </w:pPr>
      <w:r>
        <w:rPr>
          <w:rFonts w:ascii="Arial" w:cs="Arial" w:eastAsia="Arial" w:hAnsi="Arial"/>
          <w:sz w:val="22"/>
          <w:szCs w:val="22"/>
        </w:rPr>
        <w:t xml:space="preserve">17 colonnes représentant des équipements de sécurité sont stockées en texte ("Yes" / "No"). Elles sont converties en entiers 0 et 1 via un mapping explicite.</w:t>
      </w:r>
    </w:p>
    <w:p>
      <w:pPr>
        <w:spacing w:after="60" w:before="60"/>
        <w:ind w:left="720"/>
      </w:pPr>
      <w:r>
        <w:rPr>
          <w:rFonts w:ascii="Courier New" w:cs="Courier New" w:eastAsia="Courier New" w:hAnsi="Courier New"/>
          <w:color w:val="C0392B"/>
          <w:sz w:val="20"/>
          <w:szCs w:val="20"/>
        </w:rPr>
        <w:t xml:space="preserve">df[col] = df[col].map({'Yes': 1, 'No': 0})</w:t>
      </w:r>
    </w:p>
    <w:p>
      <w:pPr>
        <w:spacing w:after="80" w:before="80"/>
      </w:pPr>
      <w:r>
        <w:rPr>
          <w:rFonts w:ascii="Arial" w:cs="Arial" w:eastAsia="Arial" w:hAnsi="Arial"/>
          <w:sz w:val="22"/>
          <w:szCs w:val="22"/>
        </w:rPr>
        <w:t xml:space="preserve">Colonnes concernées :</w:t>
      </w:r>
    </w:p>
    <w:p>
      <w:pPr>
        <w:pStyle w:val="ListParagraph"/>
        <w:numPr>
          <w:ilvl w:val="0"/>
          <w:numId w:val="2"/>
        </w:numPr>
        <w:spacing w:after="40" w:before="40"/>
      </w:pPr>
      <w:r>
        <w:rPr>
          <w:rFonts w:ascii="Arial" w:cs="Arial" w:eastAsia="Arial" w:hAnsi="Arial"/>
          <w:b w:val="false"/>
          <w:bCs w:val="false"/>
          <w:sz w:val="22"/>
          <w:szCs w:val="22"/>
        </w:rPr>
        <w:t xml:space="preserve">is_esc, is_adjustable_steering, is_tpms, is_parking_sensors, is_parking_camera</w:t>
      </w:r>
    </w:p>
    <w:p>
      <w:pPr>
        <w:pStyle w:val="ListParagraph"/>
        <w:numPr>
          <w:ilvl w:val="0"/>
          <w:numId w:val="2"/>
        </w:numPr>
        <w:spacing w:after="40" w:before="40"/>
      </w:pPr>
      <w:r>
        <w:rPr>
          <w:rFonts w:ascii="Arial" w:cs="Arial" w:eastAsia="Arial" w:hAnsi="Arial"/>
          <w:b w:val="false"/>
          <w:bCs w:val="false"/>
          <w:sz w:val="22"/>
          <w:szCs w:val="22"/>
        </w:rPr>
        <w:t xml:space="preserve">is_front_fog_lights, is_rear_window_wiper, is_rear_window_washer, is_rear_window_defogger</w:t>
      </w:r>
    </w:p>
    <w:p>
      <w:pPr>
        <w:pStyle w:val="ListParagraph"/>
        <w:numPr>
          <w:ilvl w:val="0"/>
          <w:numId w:val="2"/>
        </w:numPr>
        <w:spacing w:after="40" w:before="40"/>
      </w:pPr>
      <w:r>
        <w:rPr>
          <w:rFonts w:ascii="Arial" w:cs="Arial" w:eastAsia="Arial" w:hAnsi="Arial"/>
          <w:b w:val="false"/>
          <w:bCs w:val="false"/>
          <w:sz w:val="22"/>
          <w:szCs w:val="22"/>
        </w:rPr>
        <w:t xml:space="preserve">is_brake_assist, is_power_door_locks, is_central_locking, is_power_steering</w:t>
      </w:r>
    </w:p>
    <w:p>
      <w:pPr>
        <w:pStyle w:val="ListParagraph"/>
        <w:numPr>
          <w:ilvl w:val="0"/>
          <w:numId w:val="2"/>
        </w:numPr>
        <w:spacing w:after="40" w:before="40"/>
      </w:pPr>
      <w:r>
        <w:rPr>
          <w:rFonts w:ascii="Arial" w:cs="Arial" w:eastAsia="Arial" w:hAnsi="Arial"/>
          <w:b w:val="false"/>
          <w:bCs w:val="false"/>
          <w:sz w:val="22"/>
          <w:szCs w:val="22"/>
        </w:rPr>
        <w:t xml:space="preserve">is_driver_seat_height_adjustable, is_day_night_rear_view_mirror, is_ecw, is_speed_alert</w:t>
      </w:r>
    </w:p>
    <w:p>
      <w:pPr>
        <w:spacing w:after="80" w:before="80"/>
      </w:pPr>
    </w:p>
    <w:p>
      <w:pPr>
        <w:pStyle w:val="Heading2"/>
        <w:spacing w:after="120" w:before="240"/>
      </w:pPr>
      <w:r>
        <w:rPr>
          <w:rFonts w:ascii="Arial" w:cs="Arial" w:eastAsia="Arial" w:hAnsi="Arial"/>
          <w:b/>
          <w:bCs/>
          <w:color w:val="2E75B6"/>
          <w:sz w:val="26"/>
          <w:szCs w:val="26"/>
        </w:rPr>
        <w:t xml:space="preserve">3.5 One-hot encoding des variables catégorielles</w:t>
      </w:r>
    </w:p>
    <w:p>
      <w:pPr>
        <w:spacing w:after="80" w:before="80"/>
      </w:pPr>
      <w:r>
        <w:rPr>
          <w:rFonts w:ascii="Arial" w:cs="Arial" w:eastAsia="Arial" w:hAnsi="Arial"/>
          <w:sz w:val="22"/>
          <w:szCs w:val="22"/>
        </w:rPr>
        <w:t xml:space="preserve">8 colonnes catégorielles nominales (sans ordre naturel) ne peuvent pas être encodées en entiers séquentiels — cela créerait un ordre fictif que le modèle interpréterait à tort. Le one-hot encoding crée une colonne binaire par modalité.</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5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Exemples de modalités</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fuel_type</w:t>
            </w:r>
          </w:p>
        </w:tc>
        <w:tc>
          <w:tcPr>
            <w:tcW w:type="dxa" w:w="5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Diesel, Petrol, CNG</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transmission_type</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Automatic, Manual</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rear_brakes_type</w:t>
            </w:r>
          </w:p>
        </w:tc>
        <w:tc>
          <w:tcPr>
            <w:tcW w:type="dxa" w:w="5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Disc, Drum</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steering_type</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Power, Electric, Manual</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segment</w:t>
            </w:r>
          </w:p>
        </w:tc>
        <w:tc>
          <w:tcPr>
            <w:tcW w:type="dxa" w:w="5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A, B1, B2, C1, C2, Utility</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engine_type</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Plusieurs types de motorisation</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model</w:t>
            </w:r>
          </w:p>
        </w:tc>
        <w:tc>
          <w:tcPr>
            <w:tcW w:type="dxa" w:w="5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Modèles de véhicules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region_code</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Codes géographiques</w:t>
            </w:r>
          </w:p>
        </w:tc>
      </w:tr>
    </w:tbl>
    <w:p>
      <w:pPr>
        <w:spacing w:after="80" w:before="80"/>
      </w:pPr>
    </w:p>
    <w:p>
      <w:pPr>
        <w:spacing w:after="80" w:before="80"/>
      </w:pPr>
      <w:r>
        <w:rPr>
          <w:rFonts w:ascii="Arial" w:cs="Arial" w:eastAsia="Arial" w:hAnsi="Arial"/>
          <w:sz w:val="22"/>
          <w:szCs w:val="22"/>
        </w:rPr>
        <w:t xml:space="preserve">Résultat : passage de 40 colonnes à 94 colonnes après one-hot encoding.</w:t>
      </w:r>
    </w:p>
    <w:p>
      <w:pPr>
        <w:spacing w:after="80" w:before="80"/>
      </w:pPr>
    </w:p>
    <w:p>
      <w:pPr>
        <w:pStyle w:val="Heading2"/>
        <w:spacing w:after="120" w:before="240"/>
      </w:pPr>
      <w:r>
        <w:rPr>
          <w:rFonts w:ascii="Arial" w:cs="Arial" w:eastAsia="Arial" w:hAnsi="Arial"/>
          <w:b/>
          <w:bCs/>
          <w:color w:val="2E75B6"/>
          <w:sz w:val="26"/>
          <w:szCs w:val="26"/>
        </w:rPr>
        <w:t xml:space="preserve">3.6 Vérification du déséquilibre des classes</w:t>
      </w:r>
    </w:p>
    <w:p>
      <w:pPr>
        <w:spacing w:after="80" w:before="80"/>
      </w:pPr>
      <w:r>
        <w:rPr>
          <w:rFonts w:ascii="Arial" w:cs="Arial" w:eastAsia="Arial" w:hAnsi="Arial"/>
          <w:sz w:val="22"/>
          <w:szCs w:val="22"/>
        </w:rPr>
        <w:t xml:space="preserve">Cette étape quantifie le déséquilibre qui justifie l'ensemble du projet :</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Classe</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Effectif</w:t>
            </w:r>
          </w:p>
        </w:tc>
        <w:tc>
          <w:tcPr>
            <w:tcW w:type="dxa" w:w="25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Proportion</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Sinistres (claim_status = 1)</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3 748</w:t>
            </w:r>
          </w:p>
        </w:tc>
        <w:tc>
          <w:tcPr>
            <w:tcW w:type="dxa" w:w="25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6,4%</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Non-sinistres (claim_status = 0)</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54 844</w:t>
            </w:r>
          </w:p>
        </w:tc>
        <w:tc>
          <w:tcPr>
            <w:tcW w:type="dxa" w:w="2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93,6%</w:t>
            </w:r>
          </w:p>
        </w:tc>
      </w:tr>
      <w:tr>
        <w:tc>
          <w:tcPr>
            <w:tcW w:type="dxa" w:w="4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Ratio d'imbalance</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1 pour 14</w:t>
            </w:r>
          </w:p>
        </w:tc>
        <w:tc>
          <w:tcPr>
            <w:tcW w:type="dxa" w:w="25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w:t>
            </w:r>
          </w:p>
        </w:tc>
      </w:tr>
    </w:tbl>
    <w:p>
      <w:pPr>
        <w:spacing w:after="80" w:before="80"/>
      </w:pPr>
    </w:p>
    <w:p>
      <w:pPr>
        <w:spacing w:after="80" w:before="80"/>
      </w:pPr>
      <w:r>
        <w:rPr>
          <w:rFonts w:ascii="Arial" w:cs="Arial" w:eastAsia="Arial" w:hAnsi="Arial"/>
          <w:sz w:val="22"/>
          <w:szCs w:val="22"/>
        </w:rPr>
        <w:t xml:space="preserve">Un modèle naïf prédisant systématiquement "pas de sinistre" atteindrait 93,6% de précision sans rien apprendre — ce qui est inutile actuariellement. La génération synthétique de l'étape 3 vise à rééquilibrer cet apprentissage.</w:t>
      </w:r>
    </w:p>
    <w:p>
      <w:pPr>
        <w:spacing w:after="80" w:before="80"/>
      </w:pPr>
    </w:p>
    <w:p>
      <w:pPr>
        <w:pStyle w:val="Heading2"/>
        <w:spacing w:after="120" w:before="240"/>
      </w:pPr>
      <w:r>
        <w:rPr>
          <w:rFonts w:ascii="Arial" w:cs="Arial" w:eastAsia="Arial" w:hAnsi="Arial"/>
          <w:b/>
          <w:bCs/>
          <w:color w:val="2E75B6"/>
          <w:sz w:val="26"/>
          <w:szCs w:val="26"/>
        </w:rPr>
        <w:t xml:space="preserve">3.7 Normalisation — StandardScaler</w:t>
      </w:r>
    </w:p>
    <w:p>
      <w:pPr>
        <w:spacing w:after="80" w:before="80"/>
      </w:pPr>
      <w:r>
        <w:rPr>
          <w:rFonts w:ascii="Arial" w:cs="Arial" w:eastAsia="Arial" w:hAnsi="Arial"/>
          <w:sz w:val="22"/>
          <w:szCs w:val="22"/>
        </w:rPr>
        <w:t xml:space="preserve">15 colonnes numériques continues présentent des échelles très hétérogènes (customer_age : 18-70, region_density : jusqu'à plusieurs milliers, displacement : en cm³). Sans normalisation, les variables à grande échelle dominent l'apprentissage.</w:t>
      </w:r>
    </w:p>
    <w:p>
      <w:pPr>
        <w:spacing w:after="80" w:before="80"/>
      </w:pPr>
      <w:r>
        <w:rPr>
          <w:rFonts w:ascii="Arial" w:cs="Arial" w:eastAsia="Arial" w:hAnsi="Arial"/>
          <w:sz w:val="22"/>
          <w:szCs w:val="22"/>
        </w:rPr>
        <w:t xml:space="preserve">Le StandardScaler centre chaque variable sur 0 avec un écart-type de 1 :</w:t>
      </w:r>
    </w:p>
    <w:p>
      <w:pPr>
        <w:spacing w:after="80" w:before="80"/>
      </w:pPr>
    </w:p>
    <w:p>
      <w:pPr>
        <w:spacing w:after="80" w:before="80"/>
        <w:jc w:val="center"/>
      </w:pPr>
      <w:r>
        <w:rPr>
          <w:rFonts w:ascii="Courier New" w:cs="Courier New" w:eastAsia="Courier New" w:hAnsi="Courier New"/>
          <w:b/>
          <w:bCs/>
          <w:color w:val="1F4E79"/>
          <w:sz w:val="24"/>
          <w:szCs w:val="24"/>
        </w:rPr>
        <w:t xml:space="preserve">x' = (x − μ) / σ</w:t>
      </w:r>
    </w:p>
    <w:p>
      <w:pPr>
        <w:spacing w:after="80" w:before="80"/>
      </w:pPr>
    </w:p>
    <w:p>
      <w:pPr>
        <w:spacing w:after="80" w:before="80"/>
      </w:pPr>
      <w:r>
        <w:rPr>
          <w:rFonts w:ascii="Arial" w:cs="Arial" w:eastAsia="Arial" w:hAnsi="Arial"/>
          <w:sz w:val="22"/>
          <w:szCs w:val="22"/>
        </w:rPr>
        <w:t xml:space="preserve">Colonnes normalisées : subscription_length, vehicle_age, customer_age, region_density, displacement, cylinder, turning_radius, length, width, gross_weight, torque_nm, torque_rpm, power_bhp, power_rpm, airbags.</w:t>
      </w:r>
    </w:p>
    <w:p>
      <w:pPr>
        <w:spacing w:after="80" w:before="80"/>
      </w:pPr>
      <w:r>
        <w:rPr>
          <w:rFonts w:ascii="Arial" w:cs="Arial" w:eastAsia="Arial" w:hAnsi="Arial"/>
          <w:sz w:val="22"/>
          <w:szCs w:val="22"/>
        </w:rPr>
        <w:t xml:space="preserve">Important : claim_status n'est pas normalisé — il reste en 0/1.</w:t>
      </w:r>
    </w:p>
    <w:p>
      <w:pPr>
        <w:spacing w:after="80" w:before="80"/>
      </w:pPr>
    </w:p>
    <w:p>
      <w:pPr>
        <w:pStyle w:val="Heading2"/>
        <w:spacing w:after="120" w:before="240"/>
      </w:pPr>
      <w:r>
        <w:rPr>
          <w:rFonts w:ascii="Arial" w:cs="Arial" w:eastAsia="Arial" w:hAnsi="Arial"/>
          <w:b/>
          <w:bCs/>
          <w:color w:val="2E75B6"/>
          <w:sz w:val="26"/>
          <w:szCs w:val="26"/>
        </w:rPr>
        <w:t xml:space="preserve">3.8 Sauvegarde — deux fichiers distincts</w:t>
      </w:r>
    </w:p>
    <w:p>
      <w:pPr>
        <w:spacing w:after="80" w:before="80"/>
      </w:pPr>
      <w:r>
        <w:rPr>
          <w:rFonts w:ascii="Arial" w:cs="Arial" w:eastAsia="Arial" w:hAnsi="Arial"/>
          <w:sz w:val="22"/>
          <w:szCs w:val="22"/>
        </w:rPr>
        <w:t xml:space="preserve">Deux fichiers sont produits dans le dossier outputs/ pour des usages différents dans les étapes suivantes :</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Fichier</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Contenu</w:t>
            </w:r>
          </w:p>
        </w:tc>
        <w:tc>
          <w:tcPr>
            <w:tcW w:type="dxa" w:w="3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data_encoded.csv</w:t>
            </w:r>
          </w:p>
        </w:tc>
        <w:tc>
          <w:tcPr>
            <w:tcW w:type="dxa" w:w="30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Données encodées, échelle naturelle</w:t>
            </w:r>
          </w:p>
        </w:tc>
        <w:tc>
          <w:tcPr>
            <w:tcW w:type="dxa" w:w="3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EDA (Étape 2) + entraînement CTGAN/TVAE (Étape 3)</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data_preprocessed.csv</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Données normalisées (StandardScaler)</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Classifieur downstream XGBoost/GLM (Étapes 3-4)</w:t>
            </w:r>
          </w:p>
        </w:tc>
      </w:tr>
    </w:tbl>
    <w:p>
      <w:pPr>
        <w:spacing w:after="80" w:before="160"/>
      </w:pPr>
    </w:p>
    <w:p>
      <w:pPr>
        <w:pBdr>
          <w:bottom w:val="single" w:color="CCCCCC" w:sz="4" w:space="1"/>
        </w:pBdr>
        <w:spacing w:after="160" w:before="160"/>
      </w:pPr>
    </w:p>
    <w:p>
      <w:pPr>
        <w:pStyle w:val="Heading1"/>
        <w:spacing w:after="160" w:before="320"/>
      </w:pPr>
      <w:r>
        <w:rPr>
          <w:rFonts w:ascii="Arial" w:cs="Arial" w:eastAsia="Arial" w:hAnsi="Arial"/>
          <w:b/>
          <w:bCs/>
          <w:color w:val="1F4E79"/>
          <w:sz w:val="32"/>
          <w:szCs w:val="32"/>
        </w:rPr>
        <w:t xml:space="preserve">4. Résumé des transformations</w:t>
      </w:r>
    </w:p>
    <w:p>
      <w:pPr>
        <w:spacing w:after="120" w:before="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026"/>
      </w:tblGrid>
      <w:tr>
        <w:trPr>
          <w:tblHeader/>
        </w:trPr>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Métrique</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Avant</w:t>
            </w:r>
          </w:p>
        </w:tc>
        <w:tc>
          <w:tcPr>
            <w:tcW w:type="dxa" w:w="3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Après</w:t>
            </w:r>
          </w:p>
        </w:tc>
      </w:tr>
      <w:tr>
        <w:tc>
          <w:tcPr>
            <w:tcW w:type="dxa" w:w="3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Nombre de colonnes</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41</w:t>
            </w:r>
          </w:p>
        </w:tc>
        <w:tc>
          <w:tcPr>
            <w:tcW w:type="dxa" w:w="3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94</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Valeurs manquantes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0</w:t>
            </w:r>
          </w:p>
        </w:tc>
      </w:tr>
      <w:tr>
        <w:tc>
          <w:tcPr>
            <w:tcW w:type="dxa" w:w="3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Variables textuelles</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10+</w:t>
            </w:r>
          </w:p>
        </w:tc>
        <w:tc>
          <w:tcPr>
            <w:tcW w:type="dxa" w:w="3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0</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Variables numériques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15</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15 (normalisées)</w:t>
            </w:r>
          </w:p>
        </w:tc>
      </w:tr>
      <w:tr>
        <w:tc>
          <w:tcPr>
            <w:tcW w:type="dxa" w:w="3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Variables binaires</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17 (Yes/No)</w:t>
            </w:r>
          </w:p>
        </w:tc>
        <w:tc>
          <w:tcPr>
            <w:tcW w:type="dxa" w:w="3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17 (0/1)</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Variables one-hot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8 catégorielles</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~61 colonnes binaires</w:t>
            </w:r>
          </w:p>
        </w:tc>
      </w:tr>
      <w:tr>
        <w:tc>
          <w:tcPr>
            <w:tcW w:type="dxa" w:w="3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Sinistres (classe 1)</w:t>
            </w:r>
          </w:p>
        </w:tc>
        <w:tc>
          <w:tcPr>
            <w:tcW w:type="dxa" w:w="2500"/>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3 748 (6,4%)</w:t>
            </w:r>
          </w:p>
        </w:tc>
        <w:tc>
          <w:tcPr>
            <w:tcW w:type="dxa" w:w="3026"/>
            <w:tcBorders>
              <w:top w:val="single" w:color="CCCCCC" w:sz="1"/>
              <w:left w:val="single" w:color="CCCCCC" w:sz="1"/>
              <w:bottom w:val="single" w:color="CCCCCC" w:sz="1"/>
              <w:right w:val="single" w:color="CCCCCC" w:sz="1"/>
            </w:tcBorders>
            <w:shd w:fill="F5F8FC" w:val="clear"/>
            <w:tcMar>
              <w:top w:type="dxa" w:w="60"/>
              <w:left w:type="dxa" w:w="120"/>
              <w:bottom w:type="dxa" w:w="60"/>
              <w:right w:type="dxa" w:w="120"/>
            </w:tcMar>
          </w:tcPr>
          <w:p>
            <w:r>
              <w:rPr>
                <w:rFonts w:ascii="Arial" w:cs="Arial" w:eastAsia="Arial" w:hAnsi="Arial"/>
                <w:sz w:val="20"/>
                <w:szCs w:val="20"/>
              </w:rPr>
              <w:t xml:space="preserve">3 748 (6,4%) — inchangé</w:t>
            </w:r>
          </w:p>
        </w:tc>
      </w:tr>
    </w:tbl>
    <w:p>
      <w:pPr>
        <w:spacing w:after="80" w:before="160"/>
      </w:pPr>
    </w:p>
    <w:p>
      <w:pPr>
        <w:pBdr>
          <w:bottom w:val="single" w:color="CCCCCC" w:sz="4" w:space="1"/>
        </w:pBdr>
        <w:spacing w:after="160" w:before="160"/>
      </w:pPr>
    </w:p>
    <w:p>
      <w:pPr>
        <w:pStyle w:val="Heading1"/>
        <w:spacing w:after="160" w:before="320"/>
      </w:pPr>
      <w:r>
        <w:rPr>
          <w:rFonts w:ascii="Arial" w:cs="Arial" w:eastAsia="Arial" w:hAnsi="Arial"/>
          <w:b/>
          <w:bCs/>
          <w:color w:val="1F4E79"/>
          <w:sz w:val="32"/>
          <w:szCs w:val="32"/>
        </w:rPr>
        <w:t xml:space="preserve">5. Dépendances et exécution</w:t>
      </w:r>
    </w:p>
    <w:p>
      <w:pPr>
        <w:pStyle w:val="Heading2"/>
        <w:spacing w:after="120" w:before="240"/>
      </w:pPr>
      <w:r>
        <w:rPr>
          <w:rFonts w:ascii="Arial" w:cs="Arial" w:eastAsia="Arial" w:hAnsi="Arial"/>
          <w:b/>
          <w:bCs/>
          <w:color w:val="2E75B6"/>
          <w:sz w:val="26"/>
          <w:szCs w:val="26"/>
        </w:rPr>
        <w:t xml:space="preserve">5.1 Librairies requises</w:t>
      </w:r>
    </w:p>
    <w:p>
      <w:pPr>
        <w:pStyle w:val="ListParagraph"/>
        <w:numPr>
          <w:ilvl w:val="0"/>
          <w:numId w:val="2"/>
        </w:numPr>
        <w:spacing w:after="40" w:before="40"/>
      </w:pPr>
      <w:r>
        <w:rPr>
          <w:rFonts w:ascii="Arial" w:cs="Arial" w:eastAsia="Arial" w:hAnsi="Arial"/>
          <w:b w:val="false"/>
          <w:bCs w:val="false"/>
          <w:sz w:val="22"/>
          <w:szCs w:val="22"/>
        </w:rPr>
        <w:t xml:space="preserve">pandas — manipulation des données tabulaires</w:t>
      </w:r>
    </w:p>
    <w:p>
      <w:pPr>
        <w:pStyle w:val="ListParagraph"/>
        <w:numPr>
          <w:ilvl w:val="0"/>
          <w:numId w:val="2"/>
        </w:numPr>
        <w:spacing w:after="40" w:before="40"/>
      </w:pPr>
      <w:r>
        <w:rPr>
          <w:rFonts w:ascii="Arial" w:cs="Arial" w:eastAsia="Arial" w:hAnsi="Arial"/>
          <w:b w:val="false"/>
          <w:bCs w:val="false"/>
          <w:sz w:val="22"/>
          <w:szCs w:val="22"/>
        </w:rPr>
        <w:t xml:space="preserve">numpy — calculs numériques</w:t>
      </w:r>
    </w:p>
    <w:p>
      <w:pPr>
        <w:pStyle w:val="ListParagraph"/>
        <w:numPr>
          <w:ilvl w:val="0"/>
          <w:numId w:val="2"/>
        </w:numPr>
        <w:spacing w:after="40" w:before="40"/>
      </w:pPr>
      <w:r>
        <w:rPr>
          <w:rFonts w:ascii="Arial" w:cs="Arial" w:eastAsia="Arial" w:hAnsi="Arial"/>
          <w:b w:val="false"/>
          <w:bCs w:val="false"/>
          <w:sz w:val="22"/>
          <w:szCs w:val="22"/>
        </w:rPr>
        <w:t xml:space="preserve">re — expressions régulières pour le parsing</w:t>
      </w:r>
    </w:p>
    <w:p>
      <w:pPr>
        <w:pStyle w:val="ListParagraph"/>
        <w:numPr>
          <w:ilvl w:val="0"/>
          <w:numId w:val="2"/>
        </w:numPr>
        <w:spacing w:after="40" w:before="40"/>
      </w:pPr>
      <w:r>
        <w:rPr>
          <w:rFonts w:ascii="Arial" w:cs="Arial" w:eastAsia="Arial" w:hAnsi="Arial"/>
          <w:b w:val="false"/>
          <w:bCs w:val="false"/>
          <w:sz w:val="22"/>
          <w:szCs w:val="22"/>
        </w:rPr>
        <w:t xml:space="preserve">sklearn.preprocessing.StandardScaler — normalisation</w:t>
      </w:r>
    </w:p>
    <w:p>
      <w:pPr>
        <w:pStyle w:val="ListParagraph"/>
        <w:numPr>
          <w:ilvl w:val="0"/>
          <w:numId w:val="2"/>
        </w:numPr>
        <w:spacing w:after="40" w:before="40"/>
      </w:pPr>
      <w:r>
        <w:rPr>
          <w:rFonts w:ascii="Arial" w:cs="Arial" w:eastAsia="Arial" w:hAnsi="Arial"/>
          <w:b w:val="false"/>
          <w:bCs w:val="false"/>
          <w:sz w:val="22"/>
          <w:szCs w:val="22"/>
        </w:rPr>
        <w:t xml:space="preserve">os — création automatique du dossier outputs/</w:t>
      </w:r>
    </w:p>
    <w:p>
      <w:pPr>
        <w:spacing w:after="80" w:before="80"/>
      </w:pPr>
    </w:p>
    <w:p>
      <w:pPr>
        <w:pStyle w:val="Heading2"/>
        <w:spacing w:after="120" w:before="240"/>
      </w:pPr>
      <w:r>
        <w:rPr>
          <w:rFonts w:ascii="Arial" w:cs="Arial" w:eastAsia="Arial" w:hAnsi="Arial"/>
          <w:b/>
          <w:bCs/>
          <w:color w:val="2E75B6"/>
          <w:sz w:val="26"/>
          <w:szCs w:val="26"/>
        </w:rPr>
        <w:t xml:space="preserve">5.2 Exécution</w:t>
      </w:r>
    </w:p>
    <w:p>
      <w:pPr>
        <w:spacing w:after="80" w:before="80"/>
      </w:pPr>
      <w:r>
        <w:rPr>
          <w:rFonts w:ascii="Arial" w:cs="Arial" w:eastAsia="Arial" w:hAnsi="Arial"/>
          <w:sz w:val="22"/>
          <w:szCs w:val="22"/>
        </w:rPr>
        <w:t xml:space="preserve">Depuis le dossier src/ du projet :</w:t>
      </w:r>
    </w:p>
    <w:p>
      <w:pPr>
        <w:spacing w:after="60" w:before="60"/>
        <w:ind w:left="720"/>
      </w:pPr>
      <w:r>
        <w:rPr>
          <w:rFonts w:ascii="Courier New" w:cs="Courier New" w:eastAsia="Courier New" w:hAnsi="Courier New"/>
          <w:color w:val="C0392B"/>
          <w:sz w:val="20"/>
          <w:szCs w:val="20"/>
        </w:rPr>
        <w:t xml:space="preserve">python etape1_preprocessing.py</w:t>
      </w:r>
    </w:p>
    <w:p>
      <w:pPr>
        <w:spacing w:after="80" w:before="80"/>
      </w:pPr>
      <w:r>
        <w:rPr>
          <w:rFonts w:ascii="Arial" w:cs="Arial" w:eastAsia="Arial" w:hAnsi="Arial"/>
          <w:sz w:val="22"/>
          <w:szCs w:val="22"/>
        </w:rPr>
        <w:t xml:space="preserve">Prérequis : le fichier Insurance claims data.csv doit être présent dans ../data/</w:t>
      </w:r>
    </w:p>
    <w:p>
      <w:pPr>
        <w:spacing w:after="80" w:before="80"/>
      </w:pPr>
    </w:p>
    <w:p>
      <w:pPr>
        <w:pStyle w:val="Heading2"/>
        <w:spacing w:after="120" w:before="240"/>
      </w:pPr>
      <w:r>
        <w:rPr>
          <w:rFonts w:ascii="Arial" w:cs="Arial" w:eastAsia="Arial" w:hAnsi="Arial"/>
          <w:b/>
          <w:bCs/>
          <w:color w:val="2E75B6"/>
          <w:sz w:val="26"/>
          <w:szCs w:val="26"/>
        </w:rPr>
        <w:t xml:space="preserve">5.3 Fichiers produits</w:t>
      </w:r>
    </w:p>
    <w:p>
      <w:pPr>
        <w:pStyle w:val="ListParagraph"/>
        <w:numPr>
          <w:ilvl w:val="0"/>
          <w:numId w:val="2"/>
        </w:numPr>
        <w:spacing w:after="40" w:before="40"/>
      </w:pPr>
      <w:r>
        <w:rPr>
          <w:rFonts w:ascii="Arial" w:cs="Arial" w:eastAsia="Arial" w:hAnsi="Arial"/>
          <w:b w:val="false"/>
          <w:bCs w:val="false"/>
          <w:sz w:val="22"/>
          <w:szCs w:val="22"/>
        </w:rPr>
        <w:t xml:space="preserve">../outputs/data_encoded.csv</w:t>
      </w:r>
    </w:p>
    <w:p>
      <w:pPr>
        <w:pStyle w:val="ListParagraph"/>
        <w:numPr>
          <w:ilvl w:val="0"/>
          <w:numId w:val="2"/>
        </w:numPr>
        <w:spacing w:after="40" w:before="40"/>
      </w:pPr>
      <w:r>
        <w:rPr>
          <w:rFonts w:ascii="Arial" w:cs="Arial" w:eastAsia="Arial" w:hAnsi="Arial"/>
          <w:b w:val="false"/>
          <w:bCs w:val="false"/>
          <w:sz w:val="22"/>
          <w:szCs w:val="22"/>
        </w:rPr>
        <w:t xml:space="preserve">../outputs/data_preprocessed.csv</w:t>
      </w:r>
    </w:p>
    <w:p>
      <w:pPr>
        <w:spacing w:after="80" w:before="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Projet Génération de données synthétiques — ISFA 2025-2026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2026-05-07T08:25:22.295Z</dcterms:created>
  <dcterms:modified xsi:type="dcterms:W3CDTF">2026-05-07T08:25:22.296Z</dcterms:modified>
</cp:coreProperties>
</file>

<file path=docProps/custom.xml><?xml version="1.0" encoding="utf-8"?>
<Properties xmlns="http://schemas.openxmlformats.org/officeDocument/2006/custom-properties" xmlns:vt="http://schemas.openxmlformats.org/officeDocument/2006/docPropsVTypes"/>
</file>