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945" w:type="dxa"/>
        <w:tblInd w:w="35" w:type="dxa"/>
        <w:tblLayout w:type="fixed"/>
        <w:tblLook w:val="04A0" w:firstRow="1" w:lastRow="0" w:firstColumn="1" w:lastColumn="0" w:noHBand="0" w:noVBand="1"/>
      </w:tblPr>
      <w:tblGrid>
        <w:gridCol w:w="1535"/>
        <w:gridCol w:w="1691"/>
        <w:gridCol w:w="1417"/>
        <w:gridCol w:w="3544"/>
        <w:gridCol w:w="1417"/>
        <w:gridCol w:w="1134"/>
        <w:gridCol w:w="1134"/>
        <w:gridCol w:w="1073"/>
      </w:tblGrid>
      <w:tr w:rsidR="008F5094" w:rsidRPr="00F57B46" w14:paraId="685F445D" w14:textId="77777777" w:rsidTr="0007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5" w:type="dxa"/>
            <w:vAlign w:val="center"/>
          </w:tcPr>
          <w:p w14:paraId="25541117" w14:textId="77777777" w:rsidR="00D83379" w:rsidRDefault="00D83379" w:rsidP="00BB13FB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  <w:p w14:paraId="77935751" w14:textId="15F18A7B" w:rsidR="00D83379" w:rsidRPr="00F57B46" w:rsidRDefault="00D83379" w:rsidP="00BB13F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TREATMENT GROUP</w:t>
            </w:r>
          </w:p>
        </w:tc>
        <w:tc>
          <w:tcPr>
            <w:tcW w:w="1691" w:type="dxa"/>
            <w:vAlign w:val="center"/>
          </w:tcPr>
          <w:p w14:paraId="48E4BC9A" w14:textId="77777777" w:rsidR="00D83379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</w:p>
          <w:p w14:paraId="2499D8E0" w14:textId="6CD39577" w:rsidR="00D83379" w:rsidRPr="00F57B46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ANNOTATION GROUP</w:t>
            </w:r>
          </w:p>
        </w:tc>
        <w:tc>
          <w:tcPr>
            <w:tcW w:w="1417" w:type="dxa"/>
            <w:vAlign w:val="center"/>
          </w:tcPr>
          <w:p w14:paraId="150A4425" w14:textId="48EC5707" w:rsidR="00D83379" w:rsidRPr="00903B71" w:rsidRDefault="00D83379" w:rsidP="00903B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>GENE</w:t>
            </w:r>
          </w:p>
        </w:tc>
        <w:tc>
          <w:tcPr>
            <w:tcW w:w="3544" w:type="dxa"/>
            <w:vAlign w:val="center"/>
          </w:tcPr>
          <w:p w14:paraId="73641051" w14:textId="11A57F1D" w:rsidR="00D83379" w:rsidRPr="00F57B46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FUNCTION</w:t>
            </w:r>
          </w:p>
        </w:tc>
        <w:tc>
          <w:tcPr>
            <w:tcW w:w="1417" w:type="dxa"/>
            <w:vAlign w:val="center"/>
          </w:tcPr>
          <w:p w14:paraId="60D2F679" w14:textId="77777777" w:rsidR="00D83379" w:rsidRPr="00F57B46" w:rsidRDefault="00D83379" w:rsidP="00C55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EXPRESSION</w:t>
            </w:r>
          </w:p>
        </w:tc>
        <w:tc>
          <w:tcPr>
            <w:tcW w:w="1134" w:type="dxa"/>
            <w:vAlign w:val="center"/>
          </w:tcPr>
          <w:p w14:paraId="18467453" w14:textId="42FFB2AC" w:rsidR="00D83379" w:rsidRPr="00F57B46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57B46">
              <w:rPr>
                <w:rFonts w:ascii="Arial" w:hAnsi="Arial" w:cs="Arial"/>
                <w:sz w:val="16"/>
                <w:szCs w:val="16"/>
              </w:rPr>
              <w:t>DAY 1 TO 4</w:t>
            </w:r>
          </w:p>
        </w:tc>
        <w:tc>
          <w:tcPr>
            <w:tcW w:w="1134" w:type="dxa"/>
            <w:vAlign w:val="center"/>
          </w:tcPr>
          <w:p w14:paraId="39F1223D" w14:textId="66764DEB" w:rsidR="00D83379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 4 TO 7</w:t>
            </w:r>
          </w:p>
        </w:tc>
        <w:tc>
          <w:tcPr>
            <w:tcW w:w="1073" w:type="dxa"/>
            <w:vAlign w:val="center"/>
          </w:tcPr>
          <w:p w14:paraId="0F8DA76B" w14:textId="63981D9D" w:rsidR="00D83379" w:rsidRPr="00F57B46" w:rsidRDefault="00D83379" w:rsidP="00D83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DAY 4 TO 7</w:t>
            </w:r>
          </w:p>
        </w:tc>
      </w:tr>
      <w:tr w:rsidR="00D040F1" w:rsidRPr="00F57B46" w14:paraId="03594514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left w:val="single" w:sz="4" w:space="0" w:color="808080" w:themeColor="background1" w:themeShade="80"/>
            </w:tcBorders>
            <w:vAlign w:val="center"/>
          </w:tcPr>
          <w:p w14:paraId="5A19C47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92C12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07D5C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DA1BF8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3DCF1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3ED43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61000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4BCF0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525DB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E2205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EFF111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40037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4D0B63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EBC76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14DAFD5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5C5F4A0E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4EA8E675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409DFB8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  <w:p w14:paraId="07C67E6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4EADBA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FA5B8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96488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369078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52D7D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82FB22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D2EBB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A9D25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F79EB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917C8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163D01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31E17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A42C9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4E5F8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B2FE3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0CEF40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7449A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3A130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F82C4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C7D05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8FD7E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5A3A9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C85A68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51E7B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329E6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BF3061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3CACA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B8E49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25CE0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5E528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D914A1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D4BCB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584FDB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3FC782D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79B143D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7364435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6878895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39D0E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C10294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0B557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4DB831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3FD0C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3A606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D921D8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83750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2E1F4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B71EEF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CEA026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6A0BF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5AF76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D2D6A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81BE8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761BA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8109A4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FFAAAB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E743F6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CB0C46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46BA4F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A49A2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BBB99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CCB34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05515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0EBEE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BDF87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6F1933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A9A8B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B9E7A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F962A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49E70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319D6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70AE1E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5CD4A118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6434FAA5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5F807F7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5FA76EF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58FF6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4AEE0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9B6E8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ECB41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BC4EDD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E4CF4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F1D5C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8A20E9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16FA5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8EE37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CB898A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C6263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B6335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DBDB7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17FDFE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BDF2F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1DE6B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28A1D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D4B6A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6F00F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84488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DF9CF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9495F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4A7C2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899FF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CA784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74584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96BE05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9E15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697876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31388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51836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2AFEC2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7F7C0102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33FB431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4DF0AF6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258659C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2E690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5800D8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94DC8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5DCD5A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3FD1A6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EA6D6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740B0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1D7895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BDD11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10B0F3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0544D5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D279C3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A161E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36501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BAB1C0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602A8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A4CC7B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96EB0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EC28DA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C14F6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0F251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0DB51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E860D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D8B24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03C769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A9EFB4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1B1DB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B4F315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25DF1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EBFB1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0DD3F1" w14:textId="77777777" w:rsidR="00D040F1" w:rsidRDefault="00D040F1" w:rsidP="00313547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888BCE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D685413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466E28A8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0B1A810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12D40A9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BA7D73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F7487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A3089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E8C83A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A2B95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AD102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508D7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4EFE8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86FF5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9FDBFC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B44BE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DD1BA3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E2624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E1B0A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422B7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8959CE" w14:textId="77777777" w:rsidR="00D040F1" w:rsidRDefault="00D040F1" w:rsidP="00336344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46FFD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D0AF7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E77CE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BB0B27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BB7C2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961CB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D75AD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C4A7D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767FD1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B64F2E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C6A34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7329E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A1B122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B9350F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D95A01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02B916F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12772B90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00CEFDCC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55D70B8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48FBAC9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537131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D32C0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12130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27F31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4F2AE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C699C4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5C439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B5AA2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1796B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0797EF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4C3748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D88317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3AE2A6C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98884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C6A90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8EFFF1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24E61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574F5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16090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6A54C3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CF809E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369A40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9512CD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1EB11B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3CE3B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5F92E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42103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920E9C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8715B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2208E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27FB25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FB1677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9B587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79EC1B3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0079C779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5AE61F75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60992EE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586743B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899F32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44918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04D9F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93158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90778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2953AC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49FFA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9D266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6FEDFB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E121B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54A747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2936E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C5A36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D90AA9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D0159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5D4E6B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1566E5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62172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4AFC1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6FFD6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4FA7E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9EE2A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99F78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BD938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87868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6240D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EBF9A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3E1185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4BA3B3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77DA06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2B5848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769E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97FE5A2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3A9983F8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2E688E59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0EAF9AA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4F9442A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145BB1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2BED74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65A5D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BCB48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8C0C56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9032B3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68A8B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8448ED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5ED35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8FA157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F8B7A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DC6283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F4AC114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373B7B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409222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52D898" w14:textId="77777777" w:rsidR="00D040F1" w:rsidRDefault="00D040F1" w:rsidP="001F5C38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3BF4FE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A193E8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768A87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B2D8F2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ED33DA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56F3B0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C72199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B447B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63F482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7E89B9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A04CAB9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264C25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0722283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541337F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364551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2727D6" w14:textId="77777777" w:rsidR="00D040F1" w:rsidRDefault="00D040F1" w:rsidP="00313547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C287A2F" w14:textId="500DF2C4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CONTROL</w:t>
            </w:r>
          </w:p>
          <w:p w14:paraId="47E44839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AND</w:t>
            </w:r>
          </w:p>
          <w:p w14:paraId="1BB399D0" w14:textId="77777777" w:rsidR="00D040F1" w:rsidRPr="00D83379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IVERMECTIN</w:t>
            </w:r>
          </w:p>
          <w:p w14:paraId="30077F71" w14:textId="77777777" w:rsidR="00D040F1" w:rsidRPr="00BB13FB" w:rsidRDefault="00D040F1" w:rsidP="0031354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83379">
              <w:rPr>
                <w:rFonts w:ascii="Arial" w:hAnsi="Arial" w:cs="Arial"/>
                <w:b/>
                <w:bCs/>
                <w:sz w:val="20"/>
                <w:szCs w:val="20"/>
              </w:rPr>
              <w:t>GROUPS</w:t>
            </w:r>
          </w:p>
          <w:p w14:paraId="2AB0D6C3" w14:textId="77777777" w:rsidR="00D040F1" w:rsidRDefault="00D040F1" w:rsidP="004D31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D2BBFF8" w14:textId="77777777" w:rsidR="00D040F1" w:rsidRDefault="00D040F1" w:rsidP="004D31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27071B8" w14:textId="77777777" w:rsidR="00D040F1" w:rsidRDefault="00D040F1" w:rsidP="004D31F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E4D4F2" w14:textId="542071A4" w:rsidR="00D040F1" w:rsidRPr="00BB13FB" w:rsidRDefault="00D040F1" w:rsidP="005F366F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91" w:type="dxa"/>
            <w:vMerge w:val="restart"/>
            <w:shd w:val="clear" w:color="auto" w:fill="F2F2F2" w:themeFill="background1" w:themeFillShade="F2"/>
            <w:vAlign w:val="center"/>
          </w:tcPr>
          <w:p w14:paraId="5741D039" w14:textId="7C25F1B9" w:rsidR="00D040F1" w:rsidRPr="00D83379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 xml:space="preserve">SARS-CoV-2 </w:t>
            </w:r>
          </w:p>
        </w:tc>
        <w:tc>
          <w:tcPr>
            <w:tcW w:w="1417" w:type="dxa"/>
            <w:vAlign w:val="center"/>
          </w:tcPr>
          <w:p w14:paraId="7B565265" w14:textId="658DA679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CCL2</w:t>
            </w:r>
          </w:p>
        </w:tc>
        <w:tc>
          <w:tcPr>
            <w:tcW w:w="3544" w:type="dxa"/>
            <w:vAlign w:val="center"/>
          </w:tcPr>
          <w:p w14:paraId="727F6BBE" w14:textId="76C8AC2D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83379">
              <w:rPr>
                <w:rFonts w:ascii="Arial" w:hAnsi="Arial" w:cs="Arial"/>
                <w:sz w:val="16"/>
                <w:szCs w:val="16"/>
              </w:rPr>
              <w:t xml:space="preserve">Cytokine involved in immunoregulatory and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D83379">
              <w:rPr>
                <w:rFonts w:ascii="Arial" w:hAnsi="Arial" w:cs="Arial"/>
                <w:sz w:val="16"/>
                <w:szCs w:val="16"/>
              </w:rPr>
              <w:t xml:space="preserve"> processes. Elevated expression of the encoded protein is associated with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SARS-CoV-2.</w:t>
            </w:r>
          </w:p>
        </w:tc>
        <w:tc>
          <w:tcPr>
            <w:tcW w:w="1417" w:type="dxa"/>
            <w:vMerge w:val="restart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7A4A68A0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8FD9FD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A51E1D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345A4D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078C96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EE624E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FB7BB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0FDBBD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0032B9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19CDC2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E84024A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F031FB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C54363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A63AD0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521C5A9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5715CA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949473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EE2AA2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7CCA7E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686852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2968F4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6EF86F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E6C5546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14E332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A94919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01C1A9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5543D9" w14:textId="46660605" w:rsidR="00D040F1" w:rsidRPr="008F5094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  <w:highlight w:val="cyan"/>
              </w:rPr>
            </w:pPr>
            <w:r w:rsidRPr="00D040F1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B189DFE" w14:textId="030980BB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7D58D8E" w14:textId="1E9C4301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1B90F788" w14:textId="6BC33243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060CB6D2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497999F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79F74AB" w14:textId="77777777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9C235A" w14:textId="139916B8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CTSL</w:t>
            </w:r>
          </w:p>
        </w:tc>
        <w:tc>
          <w:tcPr>
            <w:tcW w:w="3544" w:type="dxa"/>
            <w:vAlign w:val="center"/>
          </w:tcPr>
          <w:p w14:paraId="473A4E3D" w14:textId="71CCE09F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Encoded protein cleaves the S1 subunit of the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spike protein, which is necessary for entry of the virus into the cell.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D863A9" w14:textId="05A03EA0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2741AA4" w14:textId="705435FE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5A48D85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7A4D13E" w14:textId="69A84F8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DEAEADD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7435E10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16A5BD8" w14:textId="77777777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1FB8EE1" w14:textId="0B748877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CXL10</w:t>
            </w:r>
          </w:p>
        </w:tc>
        <w:tc>
          <w:tcPr>
            <w:tcW w:w="3544" w:type="dxa"/>
            <w:vAlign w:val="center"/>
          </w:tcPr>
          <w:p w14:paraId="77241C86" w14:textId="50D31805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Binding of this protein to CXCR3 results in pleiotropic effects, including stimulation of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natural killer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T-cell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migration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This gene may also be a key regulator of the 'cytokine storm' immune response to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infection.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F673E56" w14:textId="7997D06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highlight w:val="cyan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76CF343E" w14:textId="00156B85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D76558D" w14:textId="50CA7FF8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284FD8AD" w14:textId="039C1ED9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D60366F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9599B0B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ACDCD9D" w14:textId="77777777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BEAF09" w14:textId="70515B3C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LY6E</w:t>
            </w:r>
          </w:p>
        </w:tc>
        <w:tc>
          <w:tcPr>
            <w:tcW w:w="3544" w:type="dxa"/>
            <w:vAlign w:val="center"/>
          </w:tcPr>
          <w:p w14:paraId="7EAEBBF8" w14:textId="51E358E7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The protein plays an important role in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 cell </w:t>
            </w:r>
            <w:r w:rsidRPr="008059F8">
              <w:rPr>
                <w:rFonts w:ascii="Arial" w:hAnsi="Arial" w:cs="Arial"/>
                <w:sz w:val="16"/>
                <w:szCs w:val="16"/>
              </w:rPr>
              <w:t>physiology</w:t>
            </w:r>
            <w:r>
              <w:rPr>
                <w:rFonts w:ascii="Arial" w:hAnsi="Arial" w:cs="Arial"/>
                <w:sz w:val="16"/>
                <w:szCs w:val="16"/>
              </w:rPr>
              <w:t>, i</w:t>
            </w:r>
            <w:r w:rsidRPr="00903B71">
              <w:rPr>
                <w:rFonts w:ascii="Arial" w:hAnsi="Arial" w:cs="Arial"/>
                <w:sz w:val="16"/>
                <w:szCs w:val="16"/>
              </w:rPr>
              <w:t>mmunological regulation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in modulation of infection by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SARS-CoV-2.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06E06B8" w14:textId="1AB2E5F1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8046A6D" w14:textId="2092531B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38C231" w14:textId="7E7BD929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7C47A65" w14:textId="7046F141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8D7BDF5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5DD114C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4AC9318" w14:textId="77777777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F1F81B" w14:textId="1C9AF291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SIGLEC1</w:t>
            </w:r>
          </w:p>
        </w:tc>
        <w:tc>
          <w:tcPr>
            <w:tcW w:w="3544" w:type="dxa"/>
            <w:vAlign w:val="center"/>
          </w:tcPr>
          <w:p w14:paraId="1CED7145" w14:textId="5043706D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03B71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superfamily. It is</w:t>
            </w:r>
            <w:r>
              <w:rPr>
                <w:rFonts w:ascii="Arial" w:hAnsi="Arial" w:cs="Arial"/>
                <w:sz w:val="16"/>
                <w:szCs w:val="16"/>
              </w:rPr>
              <w:t xml:space="preserve"> e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xpressed only by a subpopulation of </w:t>
            </w:r>
            <w:r w:rsidRPr="00903B7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903B71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Plays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an important role </w:t>
            </w:r>
            <w:r>
              <w:rPr>
                <w:rFonts w:ascii="Arial" w:hAnsi="Arial" w:cs="Arial"/>
                <w:sz w:val="16"/>
                <w:szCs w:val="16"/>
              </w:rPr>
              <w:t xml:space="preserve">in </w:t>
            </w:r>
            <w:r w:rsidRPr="00903B71">
              <w:rPr>
                <w:rFonts w:ascii="Arial" w:hAnsi="Arial" w:cs="Arial"/>
                <w:sz w:val="16"/>
                <w:szCs w:val="16"/>
              </w:rPr>
              <w:t>viral infections</w:t>
            </w:r>
            <w:r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has been shown to enhance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903B71">
              <w:rPr>
                <w:rFonts w:ascii="Arial" w:hAnsi="Arial" w:cs="Arial"/>
                <w:sz w:val="16"/>
                <w:szCs w:val="16"/>
              </w:rPr>
              <w:t xml:space="preserve"> infection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C1F23AE" w14:textId="14E64698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1A8AC38" w14:textId="1A1B0659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2EE3AA4D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F090A29" w14:textId="19CF37F6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902F908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EF6C229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4FD4EE3A" w14:textId="77777777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2DE6980" w14:textId="4598EA6B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IFITM3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5B838B77" w14:textId="5DDB674F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-induced transmembrane (IFITM) proteins are a family of interferon induced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antiviral proteins</w:t>
            </w:r>
            <w:r w:rsidRPr="008F5094">
              <w:rPr>
                <w:rFonts w:ascii="Arial" w:hAnsi="Arial" w:cs="Arial"/>
                <w:sz w:val="16"/>
                <w:szCs w:val="16"/>
              </w:rPr>
              <w:t>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The protein encoded by this gene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restricts cellular entry</w:t>
            </w:r>
            <w:r w:rsidRPr="008F5094">
              <w:rPr>
                <w:rFonts w:ascii="Arial" w:hAnsi="Arial" w:cs="Arial"/>
                <w:sz w:val="16"/>
                <w:szCs w:val="16"/>
              </w:rPr>
              <w:t xml:space="preserve"> by diverse viral pathogens, such as </w:t>
            </w:r>
            <w:r w:rsidRPr="008F5094">
              <w:rPr>
                <w:rFonts w:ascii="Arial" w:hAnsi="Arial" w:cs="Arial"/>
                <w:b/>
                <w:bCs/>
                <w:sz w:val="16"/>
                <w:szCs w:val="16"/>
              </w:rPr>
              <w:t>Sars-CoV-2</w:t>
            </w:r>
            <w:r w:rsidRPr="008F5094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08A35B6" w14:textId="7F625CB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313B6D05" w14:textId="130C6E84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D233DB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4E1C26A2" w14:textId="5EF87AB8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C6B4FD6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DAE559E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DA1CD1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41DA5C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B8FBB8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EBDFF0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001351A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F81A22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CB0338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A711B8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594C05F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CA3D0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D457D1C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4A7FCB6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41CADA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4FC83C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6FFFC44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3AE83C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668C4B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A283A6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B09849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CBE0EF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D5F2A8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DA1AE4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E3C62C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30D0A15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0918EC7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C64037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7DCA0F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E42CE1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8A8CB5" w14:textId="77777777" w:rsidR="00D040F1" w:rsidRDefault="00D040F1" w:rsidP="00404D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3F16DB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E5FA3A" w14:textId="77777777" w:rsidR="00D040F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DFD8C3" w14:textId="275CD1B6" w:rsidR="00D040F1" w:rsidRPr="008059F8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Antimicrobial response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226D5AB" w14:textId="62A249FF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059F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EIF2AK2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541772F4" w14:textId="14E1E733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</w:t>
            </w:r>
            <w:r w:rsidRPr="008059F8">
              <w:rPr>
                <w:rFonts w:ascii="Arial" w:hAnsi="Arial" w:cs="Arial"/>
                <w:sz w:val="16"/>
                <w:szCs w:val="16"/>
              </w:rPr>
              <w:t xml:space="preserve">lays an important role in the innate immune response against multiple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RNA viruses</w:t>
            </w:r>
            <w:r w:rsidRPr="008059F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2A1CB7E" w14:textId="1A814835" w:rsidR="00D040F1" w:rsidRPr="007E1FDA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808080" w:themeColor="background1" w:themeShade="80"/>
            </w:tcBorders>
            <w:vAlign w:val="center"/>
          </w:tcPr>
          <w:p w14:paraId="340853E0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E868D92" w14:textId="4326E57E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AF1E1AC" w14:textId="463EEFAF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05B29AD0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3C6E374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6CF93B97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3982FC9" w14:textId="345AB88E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IFH1</w:t>
            </w:r>
          </w:p>
        </w:tc>
        <w:tc>
          <w:tcPr>
            <w:tcW w:w="3544" w:type="dxa"/>
            <w:vAlign w:val="center"/>
          </w:tcPr>
          <w:p w14:paraId="70109F92" w14:textId="71774503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E1FDA">
              <w:rPr>
                <w:rFonts w:ascii="Arial" w:hAnsi="Arial" w:cs="Arial"/>
                <w:sz w:val="16"/>
                <w:szCs w:val="16"/>
              </w:rPr>
              <w:t xml:space="preserve">IFIH1 encodes MDA5 which is an intracellular sensor of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viral RNA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that triggers the innate immune response. MDA5 binds dsRNA oligonucleotides with a modified DExD/H-box helicase core and a C-terminal domain, thus leading to a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proinflammatory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 that includes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Coronaviruses (CoVs) can evade the MDA5-dependent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response, thus impeding the activation of the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innate immune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response to infection.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8C69A5A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061C4158" w14:textId="52C7942D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5038DDC" w14:textId="4D8C5EBC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465EFEF" w14:textId="1D1B2AB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7D61150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3428404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267AC56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462FB4A" w14:textId="4EDFAF2F" w:rsidR="00D040F1" w:rsidRPr="00903B71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IFI44L</w:t>
            </w:r>
          </w:p>
        </w:tc>
        <w:tc>
          <w:tcPr>
            <w:tcW w:w="3544" w:type="dxa"/>
            <w:vAlign w:val="center"/>
          </w:tcPr>
          <w:p w14:paraId="2E847C9A" w14:textId="77777777" w:rsidR="00D040F1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1AC338" w14:textId="10BFF0C5" w:rsidR="00D040F1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Predicted to enable GTP binding activity. Involved in defense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response to virus.</w:t>
            </w:r>
          </w:p>
          <w:p w14:paraId="59CF821D" w14:textId="76507390" w:rsidR="00D040F1" w:rsidRPr="00F57B46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08BF8BB3" w14:textId="77777777" w:rsidR="00D040F1" w:rsidRPr="00F57B46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75EFA7D" w14:textId="076E652F" w:rsidR="00D040F1" w:rsidRPr="00F57B46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1BC6A8C" w14:textId="312C77F1" w:rsidR="00D040F1" w:rsidRPr="00F57B46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4504E3B" w14:textId="1202376A" w:rsidR="00D040F1" w:rsidRPr="00F57B46" w:rsidRDefault="00D040F1" w:rsidP="005F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6C7C0B7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A4725D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78EC427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164728" w14:textId="2CFB0B4D" w:rsidR="00D040F1" w:rsidRPr="00903B71" w:rsidRDefault="00D040F1" w:rsidP="005F3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MOV10</w:t>
            </w:r>
          </w:p>
        </w:tc>
        <w:tc>
          <w:tcPr>
            <w:tcW w:w="3544" w:type="dxa"/>
            <w:vAlign w:val="center"/>
          </w:tcPr>
          <w:p w14:paraId="1BC42324" w14:textId="6ECC590B" w:rsidR="00D040F1" w:rsidRPr="00F57B46" w:rsidRDefault="00D040F1" w:rsidP="005F36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 xml:space="preserve">Involved in defense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response to virus.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4E84EF3F" w14:textId="77777777" w:rsidR="00D040F1" w:rsidRPr="00F57B46" w:rsidRDefault="00D040F1" w:rsidP="005F3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5CDB358D" w14:textId="06B43763" w:rsidR="00D040F1" w:rsidRPr="00F57B46" w:rsidRDefault="00D040F1" w:rsidP="005F3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A2511D" w14:textId="68790B52" w:rsidR="00D040F1" w:rsidRPr="00F57B46" w:rsidRDefault="00D040F1" w:rsidP="005F3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E0EBF25" w14:textId="6671EB64" w:rsidR="00D040F1" w:rsidRPr="00F57B46" w:rsidRDefault="00D040F1" w:rsidP="005F36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601C870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4A0E4ED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A575DA8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7CACC2" w14:textId="6116DE78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MX1</w:t>
            </w:r>
          </w:p>
        </w:tc>
        <w:tc>
          <w:tcPr>
            <w:tcW w:w="3544" w:type="dxa"/>
            <w:vAlign w:val="center"/>
          </w:tcPr>
          <w:p w14:paraId="1B7B1684" w14:textId="0B5CE3E1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This gene encodes a protein that participates in the cellular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antiviral response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. The protein is induced by type I and type II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and antagonizes the replication process of several different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RNA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viruses.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5C1B8531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6D18E55" w14:textId="09FDF48A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04E0B13" w14:textId="6E9AF8DE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5D0BBA95" w14:textId="4A4A5954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146671A7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830ED2D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CA800C2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6BC669" w14:textId="7AA9012B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IRF7</w:t>
            </w:r>
          </w:p>
        </w:tc>
        <w:tc>
          <w:tcPr>
            <w:tcW w:w="3544" w:type="dxa"/>
            <w:vAlign w:val="center"/>
          </w:tcPr>
          <w:p w14:paraId="0807D48E" w14:textId="13B60759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7133F">
              <w:rPr>
                <w:rFonts w:ascii="Arial" w:hAnsi="Arial" w:cs="Arial"/>
                <w:sz w:val="16"/>
                <w:szCs w:val="16"/>
              </w:rPr>
              <w:t xml:space="preserve">This gene encodes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regulatory factor 7. </w:t>
            </w:r>
            <w:r>
              <w:rPr>
                <w:rFonts w:ascii="Arial" w:hAnsi="Arial" w:cs="Arial"/>
                <w:sz w:val="16"/>
                <w:szCs w:val="16"/>
              </w:rPr>
              <w:t>Is involved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in the transcriptional activation of virus-inducible cellular genes, including 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E7133F">
              <w:rPr>
                <w:rFonts w:ascii="Arial" w:hAnsi="Arial" w:cs="Arial"/>
                <w:sz w:val="16"/>
                <w:szCs w:val="16"/>
              </w:rPr>
              <w:t xml:space="preserve"> beta chain genes. The  protein plays an important role in the innate immune response against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F366F">
              <w:rPr>
                <w:rFonts w:ascii="Arial" w:hAnsi="Arial" w:cs="Arial"/>
                <w:b/>
                <w:bCs/>
                <w:sz w:val="16"/>
                <w:szCs w:val="16"/>
              </w:rPr>
              <w:t>R</w:t>
            </w:r>
            <w:r w:rsidRPr="00E7133F">
              <w:rPr>
                <w:rFonts w:ascii="Arial" w:hAnsi="Arial" w:cs="Arial"/>
                <w:b/>
                <w:bCs/>
                <w:sz w:val="16"/>
                <w:szCs w:val="16"/>
              </w:rPr>
              <w:t>NA viruses.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2F721325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465537D3" w14:textId="25CB0D01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E4B7B22" w14:textId="79BEB694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0BFAD41" w14:textId="246F361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8F15FA3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86A48A8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57B2831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BE6FE94" w14:textId="306679CB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TLR7</w:t>
            </w:r>
          </w:p>
        </w:tc>
        <w:tc>
          <w:tcPr>
            <w:tcW w:w="3544" w:type="dxa"/>
            <w:vAlign w:val="center"/>
          </w:tcPr>
          <w:p w14:paraId="10720E21" w14:textId="665B1C16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>The protein encoded by this gene is a member of the Toll-like receptor (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TLR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) family which plays a fundamental role in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>pathogen recognition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1C12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innate 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immunity. TLR7 senses single-stranded RNA oligonucleotides containing guanosine- and uridine-rich sequences from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RNA viruses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, a recognition occuring in the endosomes of plasmacytoid dendritic cells and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B cells.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0294CB34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1443ABF" w14:textId="505172CD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18E7559" w14:textId="291F2EA3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138BE82" w14:textId="5FADF125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29AEA11F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350431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18BAACE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4EF32CF" w14:textId="2DB12853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IFIT1</w:t>
            </w:r>
          </w:p>
        </w:tc>
        <w:tc>
          <w:tcPr>
            <w:tcW w:w="3544" w:type="dxa"/>
            <w:vAlign w:val="center"/>
          </w:tcPr>
          <w:p w14:paraId="71EE9AFF" w14:textId="0064D4EB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731D">
              <w:rPr>
                <w:rFonts w:ascii="Arial" w:hAnsi="Arial" w:cs="Arial"/>
                <w:sz w:val="16"/>
                <w:szCs w:val="16"/>
              </w:rPr>
              <w:t xml:space="preserve">This gene encodes a protein containing tetratricopeptide repeats that was originally identified as induced upon treatment with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. The encoded protein may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inhibit viral replication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69BD289D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18CBF22B" w14:textId="3748E9E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3161B02" w14:textId="0342150B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62170F30" w14:textId="192E0BDC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07178BC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EDEE800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F01E1D9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C33827A" w14:textId="1689A7A1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IFIT3</w:t>
            </w:r>
          </w:p>
        </w:tc>
        <w:tc>
          <w:tcPr>
            <w:tcW w:w="3544" w:type="dxa"/>
            <w:vAlign w:val="center"/>
          </w:tcPr>
          <w:p w14:paraId="0877207E" w14:textId="39F09884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E1FDA">
              <w:rPr>
                <w:rFonts w:ascii="Arial" w:hAnsi="Arial" w:cs="Arial"/>
                <w:sz w:val="16"/>
                <w:szCs w:val="16"/>
              </w:rPr>
              <w:t xml:space="preserve">Involved in negative regulation of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apoptotic</w:t>
            </w:r>
            <w:r w:rsidRPr="007E1FDA">
              <w:rPr>
                <w:rFonts w:ascii="Arial" w:hAnsi="Arial" w:cs="Arial"/>
                <w:sz w:val="16"/>
                <w:szCs w:val="16"/>
              </w:rPr>
              <w:t xml:space="preserve"> process and </w:t>
            </w: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7E1F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5D26491B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20CF67A7" w14:textId="5E17CF4D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FC83926" w14:textId="5278A486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4F454B95" w14:textId="794C8391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53F9D401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B4181F9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135FCDD0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F57B15D" w14:textId="0760382E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IFIT5</w:t>
            </w:r>
          </w:p>
        </w:tc>
        <w:tc>
          <w:tcPr>
            <w:tcW w:w="3544" w:type="dxa"/>
            <w:vAlign w:val="center"/>
          </w:tcPr>
          <w:p w14:paraId="3B23EF78" w14:textId="115802C6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nvolved in defense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and negative regulation of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viral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genome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replication</w:t>
            </w:r>
            <w:r w:rsidRPr="000E40E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6CA6A968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50BDDA50" w14:textId="1DA0A52B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6D1FAF" w14:textId="30573BDF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B653046" w14:textId="786F1309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3FDD7A5A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1A60362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DE6EB84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C23A8A" w14:textId="5607E78E" w:rsidR="00D040F1" w:rsidRPr="00903B71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STAT1</w:t>
            </w:r>
          </w:p>
        </w:tc>
        <w:tc>
          <w:tcPr>
            <w:tcW w:w="3544" w:type="dxa"/>
            <w:vAlign w:val="center"/>
          </w:tcPr>
          <w:p w14:paraId="78DC846A" w14:textId="6DB29F22" w:rsidR="00D040F1" w:rsidRPr="00F57B46" w:rsidRDefault="00D040F1" w:rsidP="003135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6731D">
              <w:rPr>
                <w:rFonts w:ascii="Arial" w:hAnsi="Arial" w:cs="Arial"/>
                <w:sz w:val="16"/>
                <w:szCs w:val="16"/>
              </w:rPr>
              <w:t xml:space="preserve">In response to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, STAT family members are phosphorylated by the receptor associated kinases, and then form </w:t>
            </w:r>
            <w:r>
              <w:rPr>
                <w:rFonts w:ascii="Arial" w:hAnsi="Arial" w:cs="Arial"/>
                <w:sz w:val="16"/>
                <w:szCs w:val="16"/>
              </w:rPr>
              <w:t>dimers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that translocate to the cell nucleus where they act as transcription activators. The protein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can be activated by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interferon-alpha, interferon-gamm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a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and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IL6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sz w:val="16"/>
                <w:szCs w:val="16"/>
              </w:rPr>
              <w:t>Plays</w:t>
            </w:r>
            <w:r w:rsidRPr="00D6731D">
              <w:rPr>
                <w:rFonts w:ascii="Arial" w:hAnsi="Arial" w:cs="Arial"/>
                <w:sz w:val="16"/>
                <w:szCs w:val="16"/>
              </w:rPr>
              <w:t xml:space="preserve"> an important role in immune </w:t>
            </w:r>
            <w:r w:rsidRPr="00D6731D">
              <w:rPr>
                <w:rFonts w:ascii="Arial" w:hAnsi="Arial" w:cs="Arial"/>
                <w:b/>
                <w:bCs/>
                <w:sz w:val="16"/>
                <w:szCs w:val="16"/>
              </w:rPr>
              <w:t>responses to viral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D6731D">
              <w:rPr>
                <w:rFonts w:ascii="Arial" w:hAnsi="Arial" w:cs="Arial"/>
                <w:sz w:val="16"/>
                <w:szCs w:val="16"/>
              </w:rPr>
              <w:t>pathogens.</w:t>
            </w:r>
          </w:p>
        </w:tc>
        <w:tc>
          <w:tcPr>
            <w:tcW w:w="1417" w:type="dxa"/>
            <w:vMerge/>
            <w:tcBorders>
              <w:right w:val="single" w:sz="4" w:space="0" w:color="808080" w:themeColor="background1" w:themeShade="80"/>
            </w:tcBorders>
            <w:vAlign w:val="center"/>
          </w:tcPr>
          <w:p w14:paraId="3ED0D117" w14:textId="77777777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6BF23F7C" w14:textId="23FF5511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77A79F9" w14:textId="12AD78C8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0A61E19" w14:textId="464A53AD" w:rsidR="00D040F1" w:rsidRPr="00F57B46" w:rsidRDefault="00D040F1" w:rsidP="003135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D040F1" w:rsidRPr="00F57B46" w14:paraId="4258F67C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0222E66" w14:textId="77777777" w:rsidR="00D040F1" w:rsidRPr="00F57B46" w:rsidRDefault="00D040F1" w:rsidP="004D31F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7CC6EEBA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6D4E7EE" w14:textId="2C78FF39" w:rsidR="00D040F1" w:rsidRPr="00903B71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STAT2</w:t>
            </w:r>
          </w:p>
        </w:tc>
        <w:tc>
          <w:tcPr>
            <w:tcW w:w="3544" w:type="dxa"/>
            <w:vAlign w:val="center"/>
          </w:tcPr>
          <w:p w14:paraId="5A5AC3B0" w14:textId="39415C6F" w:rsidR="00D040F1" w:rsidRPr="00F57B46" w:rsidRDefault="00D040F1" w:rsidP="00313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E40E8">
              <w:rPr>
                <w:rFonts w:ascii="Arial" w:hAnsi="Arial" w:cs="Arial"/>
                <w:sz w:val="16"/>
                <w:szCs w:val="16"/>
              </w:rPr>
              <w:t xml:space="preserve">In response to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0E40E8">
              <w:rPr>
                <w:rFonts w:ascii="Arial" w:hAnsi="Arial" w:cs="Arial"/>
                <w:sz w:val="16"/>
                <w:szCs w:val="16"/>
              </w:rPr>
              <w:t xml:space="preserve"> (IFN), this protein forms a complex with STAT1 and IFN regulatory factor family protein p48 (ISGF3G). The protein mediates innate </w:t>
            </w:r>
            <w:r w:rsidRPr="000E40E8">
              <w:rPr>
                <w:rFonts w:ascii="Arial" w:hAnsi="Arial" w:cs="Arial"/>
                <w:b/>
                <w:bCs/>
                <w:sz w:val="16"/>
                <w:szCs w:val="16"/>
              </w:rPr>
              <w:t>antiviral activity.</w:t>
            </w:r>
          </w:p>
        </w:tc>
        <w:tc>
          <w:tcPr>
            <w:tcW w:w="1417" w:type="dxa"/>
            <w:vMerge/>
            <w:tcBorders>
              <w:bottom w:val="nil"/>
              <w:right w:val="single" w:sz="4" w:space="0" w:color="808080" w:themeColor="background1" w:themeShade="80"/>
            </w:tcBorders>
            <w:vAlign w:val="center"/>
          </w:tcPr>
          <w:p w14:paraId="67121F76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3D4DDA9E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EC8B6B0" w14:textId="77777777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5156F3B" w14:textId="1AEEE67B" w:rsidR="00D040F1" w:rsidRPr="00F57B46" w:rsidRDefault="00D040F1" w:rsidP="003135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593B525" w14:textId="77777777" w:rsidTr="00582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08F563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45EB58BE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0B84610" w14:textId="265CF492" w:rsidR="00582DD2" w:rsidRPr="000E40E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PLSCR1</w:t>
            </w:r>
          </w:p>
        </w:tc>
        <w:tc>
          <w:tcPr>
            <w:tcW w:w="3544" w:type="dxa"/>
            <w:vAlign w:val="center"/>
          </w:tcPr>
          <w:p w14:paraId="6864DA3B" w14:textId="571F45ED" w:rsidR="00582DD2" w:rsidRPr="000E40E8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5040">
              <w:rPr>
                <w:rFonts w:ascii="Arial" w:hAnsi="Arial" w:cs="Arial"/>
                <w:sz w:val="16"/>
                <w:szCs w:val="16"/>
              </w:rPr>
              <w:t xml:space="preserve">This gene encodes a phospholipid scramblase family member. The cell membrane disruption plays an important role in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 clearing of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apoptotic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 cells. The encoded protein has </w:t>
            </w:r>
            <w:r w:rsidRPr="00195040">
              <w:rPr>
                <w:rFonts w:ascii="Arial" w:hAnsi="Arial" w:cs="Arial"/>
                <w:sz w:val="16"/>
                <w:szCs w:val="16"/>
              </w:rPr>
              <w:lastRenderedPageBreak/>
              <w:t xml:space="preserve">additionally been implicated in gene regulation and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195040">
              <w:rPr>
                <w:rFonts w:ascii="Arial" w:hAnsi="Arial" w:cs="Arial"/>
                <w:sz w:val="16"/>
                <w:szCs w:val="16"/>
              </w:rPr>
              <w:t xml:space="preserve">-induced </w:t>
            </w: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antiviral responses.</w:t>
            </w:r>
          </w:p>
        </w:tc>
        <w:tc>
          <w:tcPr>
            <w:tcW w:w="1417" w:type="dxa"/>
            <w:tcBorders>
              <w:top w:val="nil"/>
              <w:bottom w:val="nil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015048C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left w:val="single" w:sz="4" w:space="0" w:color="808080" w:themeColor="background1" w:themeShade="80"/>
            </w:tcBorders>
            <w:vAlign w:val="center"/>
          </w:tcPr>
          <w:p w14:paraId="415C0CAE" w14:textId="24888B6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35F544B" w14:textId="25583C8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B3183A1" w14:textId="45166ED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CED4EDD" w14:textId="77777777" w:rsidTr="001C12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CF96FB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single" w:sz="12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83FFA5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14:paraId="19742923" w14:textId="35ECD4B1" w:rsidR="00582DD2" w:rsidRPr="000E40E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MARCO</w:t>
            </w:r>
          </w:p>
        </w:tc>
        <w:tc>
          <w:tcPr>
            <w:tcW w:w="3544" w:type="dxa"/>
            <w:vAlign w:val="center"/>
          </w:tcPr>
          <w:p w14:paraId="185AE069" w14:textId="59A85275" w:rsidR="00582DD2" w:rsidRPr="000E40E8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class A scavenger receptor family and is part of the </w:t>
            </w: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innate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D31F9">
              <w:rPr>
                <w:rFonts w:ascii="Arial" w:hAnsi="Arial" w:cs="Arial"/>
                <w:b/>
                <w:bCs/>
                <w:sz w:val="16"/>
                <w:szCs w:val="16"/>
              </w:rPr>
              <w:t>antimicrobial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immune system.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715FD490" w14:textId="700155F7" w:rsidR="00582DD2" w:rsidRPr="004D31F9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D31F9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7</w:t>
            </w:r>
          </w:p>
        </w:tc>
        <w:tc>
          <w:tcPr>
            <w:tcW w:w="1134" w:type="dxa"/>
            <w:vAlign w:val="center"/>
          </w:tcPr>
          <w:p w14:paraId="046A8FE7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71F408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4FA2F16" w14:textId="7A6073DE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2BFE9E0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F81B6C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04E626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A61B11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E7155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972BE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084E2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F652E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D0C80A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FAA1C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58245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0966E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DEBDC1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B5FC89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D35E42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EF37A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EBDB8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1AC8B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AFBC94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4328D8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CE7C4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39AFA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A7DDC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63114F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A7C21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FCB50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284785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8EEEE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24CC4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4E1B6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D563DE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10EA8FA" w14:textId="44AB908E" w:rsidR="00582DD2" w:rsidRPr="006C1DA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Inflammatory,</w:t>
            </w:r>
          </w:p>
          <w:p w14:paraId="3E3EDCC3" w14:textId="0BA29766" w:rsidR="00582DD2" w:rsidRPr="006C1DA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TLR and</w:t>
            </w:r>
          </w:p>
          <w:p w14:paraId="7337F0E9" w14:textId="68574E1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Chemokines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D001F7A" w14:textId="6CC27A20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TNFAIP6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7E4ECD75" w14:textId="7BD41A8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This protein has been shown to form a stable complex with inter-alpha-inhibitor (I alpha I), and thus enhance the serine protease inhibitory activity of I alpha I, which is important in the protease network associated with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This gene can be induced by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proinflammatory cytokines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such as tumor necrosis factor alpha and interleukin-1.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8803498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9E7881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712B73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5F9362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93DFEF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54D656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6C644C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FE2BFA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351239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323E64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A402F8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9D3FFC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F76CF3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F637C2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1E0D06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CA55EC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11068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FE96F9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47B53A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5F887C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A1FDD6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DDFEF9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EA441A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4AFE89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5DB6FA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C8519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FA3341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CE0FB4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18170C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3C08D1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660A7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230AA0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16C900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5F8176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3892FF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AACFB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026D1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CEAA57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748544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4D07E7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447969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F5DBD7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3B7C32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BB9CC9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84EA15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0F5DDD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69CF0B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2FFB03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90416B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8E7615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B70FC3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852FE9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B664B1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98D481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6C4E1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516216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196268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6C284D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71D0C1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C77CD37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80B2C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092930E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02CEC6E" w14:textId="22206CB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E1FDA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676F33B" w14:textId="130AA57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C5DEBE8" w14:textId="1A7A291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1A301C71" w14:textId="62EEAAA2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21C11FD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A5FCEC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A9DD1E3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C64C15F" w14:textId="7914E9F5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CXCL11</w:t>
            </w:r>
          </w:p>
        </w:tc>
        <w:tc>
          <w:tcPr>
            <w:tcW w:w="3544" w:type="dxa"/>
            <w:vAlign w:val="center"/>
          </w:tcPr>
          <w:p w14:paraId="288DCEE4" w14:textId="3260456E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Chemokines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are a group of small structurally related molecules that regulate cell trafficking of various types of leukocytes through interactions with a subset of 7-transmembrane, G protein-coupled receptors.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IFN-gamma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is a potent inducer of transcription of this gene.</w:t>
            </w:r>
          </w:p>
        </w:tc>
        <w:tc>
          <w:tcPr>
            <w:tcW w:w="1417" w:type="dxa"/>
            <w:vMerge/>
            <w:vAlign w:val="center"/>
          </w:tcPr>
          <w:p w14:paraId="6346C5A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D1AC801" w14:textId="196E9CE3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777AABF" w14:textId="32354BA2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4DE602A" w14:textId="727FA1E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CAF9881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80F7B1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D7C2522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9632EB" w14:textId="142715F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CCR1</w:t>
            </w:r>
          </w:p>
        </w:tc>
        <w:tc>
          <w:tcPr>
            <w:tcW w:w="3544" w:type="dxa"/>
            <w:vAlign w:val="center"/>
          </w:tcPr>
          <w:p w14:paraId="04F282AB" w14:textId="3A83583D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This gene encodes a member of the beta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chemokine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receptor family, which is predicted to be a seven transmembrane protein similar to G protein-coupled receptors. The ligands of this receptor include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macrophage 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protein 1 alpha, regulated on activation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normal T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expressed and secreted protein (RANTES),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monocyte 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chemoattractant protein 3 (MCP-3), and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myeloid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progenitor inhibitory factor-1 (MPIF-1). Chemokines and their receptors mediated signal transduction are critical for the recruitment of effector immune cells to the site of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D97F3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vAlign w:val="center"/>
          </w:tcPr>
          <w:p w14:paraId="668B951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E36B5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990C12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70DBDE" w14:textId="70FAFCF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F9B8D8A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E6A9D53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F023200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253B890" w14:textId="37382420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CCRL2</w:t>
            </w:r>
          </w:p>
        </w:tc>
        <w:tc>
          <w:tcPr>
            <w:tcW w:w="3544" w:type="dxa"/>
            <w:vAlign w:val="center"/>
          </w:tcPr>
          <w:p w14:paraId="4B2251CB" w14:textId="7FB30A85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This gene encodes a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chemokine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receptor like protein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Chemokines and their receptors mediated signal transduction are critical for the recruitment of effector immune cells to the site of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This gene is expressed at high levels in primary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primary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is further upregulated on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neutrophil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activation and during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to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differentiation.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7EA8AE03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8289E0E" w14:textId="67CB184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9444764" w14:textId="151F2B4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B73AC09" w14:textId="3C37E955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78B17A6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BB6C54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331760D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FA6DEE1" w14:textId="2A19EEC7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CCL8</w:t>
            </w:r>
          </w:p>
        </w:tc>
        <w:tc>
          <w:tcPr>
            <w:tcW w:w="3544" w:type="dxa"/>
            <w:vAlign w:val="center"/>
          </w:tcPr>
          <w:p w14:paraId="5DBBA5C3" w14:textId="3FEA23B5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C1DAE">
              <w:rPr>
                <w:rFonts w:ascii="Arial" w:hAnsi="Arial" w:cs="Arial"/>
                <w:sz w:val="16"/>
                <w:szCs w:val="16"/>
              </w:rPr>
              <w:t xml:space="preserve">Is a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involved in immunoregulatory and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processes. This cytokine displays chemotactic activity for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basophils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6C1DAE">
              <w:rPr>
                <w:rFonts w:ascii="Arial" w:hAnsi="Arial" w:cs="Arial"/>
                <w:b/>
                <w:bCs/>
                <w:sz w:val="16"/>
                <w:szCs w:val="16"/>
              </w:rPr>
              <w:t>eosinophils</w:t>
            </w:r>
            <w:r w:rsidRPr="006C1DAE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02D309AD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526F189" w14:textId="1468A14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20CFDBE" w14:textId="0D01234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76F6538" w14:textId="12A7853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FCEB634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72F3970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CE17FFC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F6897F" w14:textId="5B94E2FF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IL10</w:t>
            </w:r>
          </w:p>
        </w:tc>
        <w:tc>
          <w:tcPr>
            <w:tcW w:w="3544" w:type="dxa"/>
            <w:vAlign w:val="center"/>
          </w:tcPr>
          <w:p w14:paraId="29BB3F54" w14:textId="79D538EF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86122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produced primarily by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and to a lesser extent by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. This cytokine has pleiotropic effects in immunoregulation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. It down-regulates the expression of Th1 cytokines,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MHC class II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Ags, and costimulatory molecules on macrophages. It also enhances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survival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antibody production.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0F79317E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6C563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23337BE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1EE58BB" w14:textId="3FAE0384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4A92441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D6E5C78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931E0E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67FC0D" w14:textId="03F62309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IL1RN</w:t>
            </w:r>
          </w:p>
        </w:tc>
        <w:tc>
          <w:tcPr>
            <w:tcW w:w="3544" w:type="dxa"/>
            <w:vAlign w:val="center"/>
          </w:tcPr>
          <w:p w14:paraId="4DDE3B70" w14:textId="14AACDA4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F86122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interleukin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1 cytokine family. This protein inhibits the activities of interleukin 1, alpha (IL1A) and interleukin 1, beta (IL1B), and modulates a variety of interleukin 1 related immune and </w:t>
            </w:r>
            <w:r w:rsidRPr="00F86122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F86122">
              <w:rPr>
                <w:rFonts w:ascii="Arial" w:hAnsi="Arial" w:cs="Arial"/>
                <w:sz w:val="16"/>
                <w:szCs w:val="16"/>
              </w:rPr>
              <w:t xml:space="preserve"> responses, particularly in the acute phase of infection and inflammation.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619B1B5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674C8C7" w14:textId="779FB6F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9472A8D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A3815CC" w14:textId="11C9C0D0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4A6A624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233378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F6AA027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EF955C4" w14:textId="5FDEA465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LILRB4</w:t>
            </w:r>
          </w:p>
        </w:tc>
        <w:tc>
          <w:tcPr>
            <w:tcW w:w="3544" w:type="dxa"/>
            <w:vAlign w:val="center"/>
          </w:tcPr>
          <w:p w14:paraId="21E72040" w14:textId="012FA1C9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This gene is a member of the leukocyte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of LIR receptors. The receptor is expressed on immune cells where it binds to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MHC class I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molecules on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antigen-presenting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cells and transduces a negative signal that inhibits stimulation of an immune response. It is thought to control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responses and cytotoxicity to help focus the immune response and limit autoreactivity.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3ACCECAD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2A06FE1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F0EC1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89D4682" w14:textId="2133844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74110D9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2482365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A57C5B0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BF5E578" w14:textId="1EFE44A8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LILRA5</w:t>
            </w:r>
          </w:p>
        </w:tc>
        <w:tc>
          <w:tcPr>
            <w:tcW w:w="3544" w:type="dxa"/>
            <w:vAlign w:val="center"/>
          </w:tcPr>
          <w:p w14:paraId="74829601" w14:textId="58A3EC4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97F3B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leukocyte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-like receptor (LIR) family. LIR family members are known to have activating and inhibitory functions in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leukocytes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. Crosslink of this receptor protein on the surface of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has been shown to induce calcium flux and secretion of several </w:t>
            </w:r>
            <w:r w:rsidRPr="00D97F3B">
              <w:rPr>
                <w:rFonts w:ascii="Arial" w:hAnsi="Arial" w:cs="Arial"/>
                <w:b/>
                <w:bCs/>
                <w:sz w:val="16"/>
                <w:szCs w:val="16"/>
              </w:rPr>
              <w:t>proinflammatory</w:t>
            </w:r>
            <w:r w:rsidRPr="00D97F3B">
              <w:rPr>
                <w:rFonts w:ascii="Arial" w:hAnsi="Arial" w:cs="Arial"/>
                <w:sz w:val="16"/>
                <w:szCs w:val="16"/>
              </w:rPr>
              <w:t xml:space="preserve"> cytokines, which suggests the roles of this protein in triggering innate immune responses.</w:t>
            </w:r>
          </w:p>
        </w:tc>
        <w:tc>
          <w:tcPr>
            <w:tcW w:w="1417" w:type="dxa"/>
            <w:vMerge/>
            <w:tcBorders>
              <w:bottom w:val="nil"/>
            </w:tcBorders>
            <w:vAlign w:val="center"/>
          </w:tcPr>
          <w:p w14:paraId="50C1AD08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117F1BC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EA18D5D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6B92159" w14:textId="23AC47F2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7BDB87F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57344E5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226B9CA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B267DB" w14:textId="3E9EBAF9" w:rsidR="00582DD2" w:rsidRPr="004D31F9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FCGR1A</w:t>
            </w:r>
          </w:p>
        </w:tc>
        <w:tc>
          <w:tcPr>
            <w:tcW w:w="3544" w:type="dxa"/>
            <w:vAlign w:val="center"/>
          </w:tcPr>
          <w:p w14:paraId="0146FE80" w14:textId="6A77B121" w:rsidR="00582DD2" w:rsidRPr="00D97F3B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>This gene encodes a protein that plays an important role in the immune response. This protein is a high-affinity Fc-gamma receptor.</w:t>
            </w:r>
            <w:r>
              <w:t xml:space="preserve"> </w:t>
            </w:r>
            <w:r w:rsidRPr="004D31F9">
              <w:rPr>
                <w:rFonts w:ascii="Arial" w:hAnsi="Arial" w:cs="Arial"/>
                <w:sz w:val="16"/>
                <w:szCs w:val="16"/>
              </w:rPr>
              <w:t xml:space="preserve">mong its related pathways are ADORA2B mediated </w:t>
            </w:r>
            <w:r w:rsidRPr="004D31F9">
              <w:rPr>
                <w:rFonts w:ascii="Arial" w:hAnsi="Arial" w:cs="Arial"/>
                <w:b/>
                <w:bCs/>
                <w:sz w:val="16"/>
                <w:szCs w:val="16"/>
              </w:rPr>
              <w:t>anti-inflammatory</w:t>
            </w:r>
            <w:r w:rsidRPr="004D31F9">
              <w:rPr>
                <w:rFonts w:ascii="Arial" w:hAnsi="Arial" w:cs="Arial"/>
                <w:sz w:val="16"/>
                <w:szCs w:val="16"/>
              </w:rPr>
              <w:t xml:space="preserve"> cytokines production</w:t>
            </w:r>
          </w:p>
        </w:tc>
        <w:tc>
          <w:tcPr>
            <w:tcW w:w="1417" w:type="dxa"/>
            <w:vMerge w:val="restart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4D4EED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DC6583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2F022A" w14:textId="77777777" w:rsidR="00582DD2" w:rsidRDefault="00582DD2" w:rsidP="0058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9E21FC" w14:textId="0CBA1804" w:rsidR="00582DD2" w:rsidRPr="00F57B46" w:rsidRDefault="00582DD2" w:rsidP="0058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8A7DD8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80A766A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46D7F6A" w14:textId="0CD3348E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7813798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F31744B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E54601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5E555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75CFD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CA02A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BDD13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EF97C2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0698E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0D9AA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CCD4FB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499606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B46CB4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F1DCDA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FC5A4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4CF2B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DF7572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473BAF" w14:textId="3608E2F3" w:rsidR="00582DD2" w:rsidRPr="00396CB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2C98BA1" w14:textId="07B00B23" w:rsidR="00582DD2" w:rsidRPr="006C1DA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NR4A1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8FE7E46" w14:textId="506F3A06" w:rsidR="00582DD2" w:rsidRPr="006C1DA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Expression is induced by phytohemagglutinin in human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lymphocytes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Translocation of the </w:t>
            </w:r>
            <w:r w:rsidRPr="00396CBE">
              <w:rPr>
                <w:rFonts w:ascii="Arial" w:hAnsi="Arial" w:cs="Arial"/>
                <w:sz w:val="16"/>
                <w:szCs w:val="16"/>
              </w:rPr>
              <w:lastRenderedPageBreak/>
              <w:t xml:space="preserve">protein from the nucleus to mitochondria induces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663F14A6" w14:textId="2FECA724" w:rsidR="00582DD2" w:rsidRPr="00396CB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D08209D" w14:textId="6B3B7972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BD7E79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04DDAEA2" w14:textId="63AF079E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4DCE4EE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A32C4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7B8D55E3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8E4C815" w14:textId="25393998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IFI6</w:t>
            </w:r>
          </w:p>
        </w:tc>
        <w:tc>
          <w:tcPr>
            <w:tcW w:w="3544" w:type="dxa"/>
            <w:vAlign w:val="center"/>
          </w:tcPr>
          <w:p w14:paraId="7EE77FE1" w14:textId="2528D578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was first identified as one of the many genes induced by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The encoded protein may play a critical role in the regulation of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221C8E3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524608A" w14:textId="2A922ED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F987130" w14:textId="451CBF0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263B1D39" w14:textId="7ADA761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E54B90F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EAB49FD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3BBF351B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F1F2994" w14:textId="31B2089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XAF1</w:t>
            </w:r>
          </w:p>
        </w:tc>
        <w:tc>
          <w:tcPr>
            <w:tcW w:w="3544" w:type="dxa"/>
            <w:vAlign w:val="center"/>
          </w:tcPr>
          <w:p w14:paraId="7C424B12" w14:textId="645D73FC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encodes a protein which binds to and counteracts the inhibitory effect of a member of the IAP (inhibitor of apoptosis) protein family. IAP proteins bind to and inhibit caspases which are activated during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1646DB6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75C3E4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8CF3D81" w14:textId="70378700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vAlign w:val="center"/>
          </w:tcPr>
          <w:p w14:paraId="717771C6" w14:textId="1D42FFE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FB99814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B857C4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0FB9894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2D75A24" w14:textId="3DB32466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CEACAM1</w:t>
            </w:r>
          </w:p>
        </w:tc>
        <w:tc>
          <w:tcPr>
            <w:tcW w:w="3544" w:type="dxa"/>
            <w:vAlign w:val="center"/>
          </w:tcPr>
          <w:p w14:paraId="2B0BB732" w14:textId="7592FD50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96CBE">
              <w:rPr>
                <w:rFonts w:ascii="Arial" w:hAnsi="Arial" w:cs="Arial"/>
                <w:sz w:val="16"/>
                <w:szCs w:val="16"/>
              </w:rPr>
              <w:t xml:space="preserve">This gene encodes a member of the carcinoembryonic antigen (CEA) gene family, which belongs to the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 superfamily. It was found to be a cell-cell adhesion molecule detected on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leukocytes</w:t>
            </w:r>
            <w:r w:rsidRPr="00396CBE">
              <w:rPr>
                <w:rFonts w:ascii="Arial" w:hAnsi="Arial" w:cs="Arial"/>
                <w:sz w:val="16"/>
                <w:szCs w:val="16"/>
              </w:rPr>
              <w:t xml:space="preserve">. Multiple cellular activities have been attributed to the encoded protein, including roles in </w:t>
            </w:r>
            <w:r w:rsidRPr="00396CBE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396CBE">
              <w:rPr>
                <w:rFonts w:ascii="Arial" w:hAnsi="Arial" w:cs="Arial"/>
                <w:sz w:val="16"/>
                <w:szCs w:val="16"/>
              </w:rPr>
              <w:t>, and the modulation of innate and adaptive immune responses.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B7FCD75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0F9E89A" w14:textId="232C0C32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E5D59C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E48F3B1" w14:textId="6BDC96DB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E7F9E92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ACC4FA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08B41E3F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637853" w14:textId="44071C26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BCL2L14</w:t>
            </w:r>
          </w:p>
        </w:tc>
        <w:tc>
          <w:tcPr>
            <w:tcW w:w="3544" w:type="dxa"/>
            <w:vAlign w:val="center"/>
          </w:tcPr>
          <w:p w14:paraId="0B180479" w14:textId="430EFB1C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Overexpression of this gene has been shown to induce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in cells.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33704AE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5F77668" w14:textId="30C440A2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1866DD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D30A6E7" w14:textId="73F04A0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AE453AC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F529DE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6E73D36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7D2CB7D" w14:textId="4F4C2424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CASP5</w:t>
            </w:r>
          </w:p>
        </w:tc>
        <w:tc>
          <w:tcPr>
            <w:tcW w:w="3544" w:type="dxa"/>
            <w:vAlign w:val="center"/>
          </w:tcPr>
          <w:p w14:paraId="5F819C36" w14:textId="7C3C72A1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Overexpression of the active form of this enzyme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induces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in fibroblasts. The expression of this gene is regulated by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interferon-gamma</w:t>
            </w:r>
            <w:r w:rsidRPr="00E4016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0A529AEA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0DA793" w14:textId="36069329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CE27E75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81A0FFD" w14:textId="35484B5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6B766F7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42250C5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</w:tcPr>
          <w:p w14:paraId="6AC0FC2C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166B1E5" w14:textId="20ED8C9B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TGM2</w:t>
            </w:r>
          </w:p>
        </w:tc>
        <w:tc>
          <w:tcPr>
            <w:tcW w:w="3544" w:type="dxa"/>
            <w:vAlign w:val="center"/>
          </w:tcPr>
          <w:p w14:paraId="53816BA8" w14:textId="70094F4E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The protein encoded by this gene appears to be involved in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270C00EC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28C1F00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48DFE7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6690A27" w14:textId="5102067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83C95FA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78E8E2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</w:tcPr>
          <w:p w14:paraId="0C3D0CCD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12DC681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D396AC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945BB9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70E677" w14:textId="358FAFC2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BIRC5</w:t>
            </w:r>
          </w:p>
          <w:p w14:paraId="0D084F02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EE0722" w14:textId="77777777" w:rsidR="00582DD2" w:rsidRDefault="00582DD2" w:rsidP="0058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C27BD2" w14:textId="3D8C2B12" w:rsidR="00582DD2" w:rsidRPr="00903B71" w:rsidRDefault="00582DD2" w:rsidP="00582D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2EFFC2F" w14:textId="6476A74C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4016F">
              <w:rPr>
                <w:rFonts w:ascii="Arial" w:hAnsi="Arial" w:cs="Arial"/>
                <w:sz w:val="16"/>
                <w:szCs w:val="16"/>
              </w:rPr>
              <w:t xml:space="preserve">This gene is a member of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the inhibitor of apoptosis</w:t>
            </w:r>
            <w:r w:rsidRPr="00E4016F">
              <w:rPr>
                <w:rFonts w:ascii="Arial" w:hAnsi="Arial" w:cs="Arial"/>
                <w:sz w:val="16"/>
                <w:szCs w:val="16"/>
              </w:rPr>
              <w:t xml:space="preserve"> (IAP) gene family, which encode negative regulatory proteins that </w:t>
            </w:r>
            <w:r w:rsidRPr="00E4016F">
              <w:rPr>
                <w:rFonts w:ascii="Arial" w:hAnsi="Arial" w:cs="Arial"/>
                <w:b/>
                <w:bCs/>
                <w:sz w:val="16"/>
                <w:szCs w:val="16"/>
              </w:rPr>
              <w:t>prevent apoptotic cell death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AA4947" w14:textId="0117B47F" w:rsidR="00582DD2" w:rsidRPr="00195040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EC9F718" w14:textId="367CBCD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193D7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456FD34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31E0FFFC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9BEAD5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nil"/>
            </w:tcBorders>
            <w:shd w:val="clear" w:color="auto" w:fill="F2F2F2" w:themeFill="background1" w:themeFillShade="F2"/>
            <w:vAlign w:val="center"/>
          </w:tcPr>
          <w:p w14:paraId="0B5EE114" w14:textId="1BEF44D6" w:rsidR="00582DD2" w:rsidRPr="00195040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5040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DA5E585" w14:textId="340798CC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MSR1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30BBBD1" w14:textId="227D8A8D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 xml:space="preserve">This gene encodes the class A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0665E3">
              <w:rPr>
                <w:rFonts w:ascii="Arial" w:hAnsi="Arial" w:cs="Arial"/>
                <w:sz w:val="16"/>
                <w:szCs w:val="16"/>
              </w:rPr>
              <w:t xml:space="preserve"> scavenger.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4310E07" w14:textId="2CBBAD82" w:rsidR="00582DD2" w:rsidRPr="00195040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8F3F8DC" w14:textId="4538FECA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29EF35B" w14:textId="7AAC924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6EA9EF5" w14:textId="369374B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084E462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075E748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4B9DE" w14:textId="35C4F451" w:rsidR="00582DD2" w:rsidRPr="000665E3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2F2F2" w:themeFill="background1" w:themeFillShade="F2"/>
              </w:rPr>
              <w:t>Monocyte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37C038" w14:textId="6CA88B4F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IL31RA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367EBD" w14:textId="42A28319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 xml:space="preserve">The protein encoded by this gene belongs to the type I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0665E3">
              <w:rPr>
                <w:rFonts w:ascii="Arial" w:hAnsi="Arial" w:cs="Arial"/>
                <w:sz w:val="16"/>
                <w:szCs w:val="16"/>
              </w:rPr>
              <w:t xml:space="preserve"> receptor family. This receptor, with homology to gp130, is expressed on </w:t>
            </w: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0665E3">
              <w:rPr>
                <w:rFonts w:ascii="Arial" w:hAnsi="Arial" w:cs="Arial"/>
                <w:sz w:val="16"/>
                <w:szCs w:val="16"/>
              </w:rPr>
              <w:t>, and is involved in IL-31 signaling via activation of STAT-3 and STAT-5.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3A8DA5F" w14:textId="7F722755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E53D1" w14:textId="1AED4B8B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9724294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7116CF" w14:textId="1C77E4B9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2026C2C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7594C0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761EE0" w14:textId="23B90066" w:rsidR="00582DD2" w:rsidRPr="000665E3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Myeloid cells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0EF107" w14:textId="6C38E155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665E3">
              <w:rPr>
                <w:rFonts w:ascii="Arial" w:hAnsi="Arial" w:cs="Arial"/>
                <w:b/>
                <w:bCs/>
                <w:sz w:val="16"/>
                <w:szCs w:val="16"/>
              </w:rPr>
              <w:t>CD300E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C6D314" w14:textId="66641A52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665E3">
              <w:rPr>
                <w:rFonts w:ascii="Arial" w:hAnsi="Arial" w:cs="Arial"/>
                <w:sz w:val="16"/>
                <w:szCs w:val="16"/>
              </w:rPr>
              <w:t>This gene encodes a member of the CD300 glycoprotein family of cell surface proteins expressed on myeloid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19C8FFE" w14:textId="7324248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4CC224" w14:textId="2952B26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C0A1C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60AA901" w14:textId="6492E17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7E0D992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C11341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B19E64C" w14:textId="5D6B1793" w:rsidR="00582DD2" w:rsidRPr="00895E6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Natural killers (NK)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383D672" w14:textId="664D80EA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LGALS3BP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092EA7" w14:textId="408CA8F2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It appears to be implicated in immune response associated with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natural killer (NK)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lymphokine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-activated killer (LAK) cell cytotoxicity. The native protein binds specifically to a human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895E61">
              <w:rPr>
                <w:rFonts w:ascii="Arial" w:hAnsi="Arial" w:cs="Arial"/>
                <w:sz w:val="16"/>
                <w:szCs w:val="16"/>
              </w:rPr>
              <w:t>-associated lectin known as Mac-2 and also binds galectin 1.</w:t>
            </w:r>
          </w:p>
        </w:tc>
        <w:tc>
          <w:tcPr>
            <w:tcW w:w="1417" w:type="dxa"/>
            <w:vMerge/>
            <w:vAlign w:val="center"/>
          </w:tcPr>
          <w:p w14:paraId="1A4F88A6" w14:textId="69551374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3A02D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8B2D2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50C6A1" w14:textId="440D832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0B1215F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53E976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B0E863" w14:textId="20CC285F" w:rsidR="00582DD2" w:rsidRPr="00895E6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5B6C7A" w14:textId="13592693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DEFB1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D44111B" w14:textId="4A10A519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Defensins form a family of </w:t>
            </w:r>
            <w:proofErr w:type="gramStart"/>
            <w:r w:rsidRPr="00895E61">
              <w:rPr>
                <w:rFonts w:ascii="Arial" w:hAnsi="Arial" w:cs="Arial"/>
                <w:sz w:val="16"/>
                <w:szCs w:val="16"/>
              </w:rPr>
              <w:t>microbicidal</w:t>
            </w:r>
            <w:proofErr w:type="gramEnd"/>
            <w:r w:rsidRPr="00895E61">
              <w:rPr>
                <w:rFonts w:ascii="Arial" w:hAnsi="Arial" w:cs="Arial"/>
                <w:sz w:val="16"/>
                <w:szCs w:val="16"/>
              </w:rPr>
              <w:t xml:space="preserve"> and cytotoxic peptides made by </w:t>
            </w:r>
            <w:r w:rsidRPr="00D17411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</w:p>
        </w:tc>
        <w:tc>
          <w:tcPr>
            <w:tcW w:w="1417" w:type="dxa"/>
            <w:vMerge/>
            <w:vAlign w:val="center"/>
          </w:tcPr>
          <w:p w14:paraId="475110D9" w14:textId="230C511E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003F15" w14:textId="3D3FEF1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80D1D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8FEC3F9" w14:textId="33F2E408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FD1F31F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2AC6DA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C220C9" w14:textId="46E95D27" w:rsidR="00582DD2" w:rsidRPr="00895E6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T cells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3E13C177" w14:textId="0E52D6EF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IL4I1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6BF75504" w14:textId="0E17A4AA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The expression of this gene is induced by the cytokine interleukin 4 in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This gene is also expressed in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This protein may play a role immune system escape as it is expressed in tumor-associated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suppresses T-cell responses.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A8560E2" w14:textId="521C51E3" w:rsidR="00582DD2" w:rsidRPr="00895E6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9E27D44" w14:textId="3C14BAB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0EC7843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ACE8505" w14:textId="024BD7B9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EDA9950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8C674EB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5CF0615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4964710" w14:textId="5549FC40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CD274</w:t>
            </w:r>
          </w:p>
        </w:tc>
        <w:tc>
          <w:tcPr>
            <w:tcW w:w="3544" w:type="dxa"/>
            <w:vAlign w:val="center"/>
          </w:tcPr>
          <w:p w14:paraId="50804DC9" w14:textId="7A5C77A1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95E61">
              <w:rPr>
                <w:rFonts w:ascii="Arial" w:hAnsi="Arial" w:cs="Arial"/>
                <w:sz w:val="16"/>
                <w:szCs w:val="16"/>
              </w:rPr>
              <w:t xml:space="preserve">This gene encodes an immune inhibitory receptor ligand that is expressed by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T cells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The encoded protein has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domains. Interaction of this ligand with its receptor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inhibits T-cell activation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cytokine production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. During infection 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of normal tissue, this interaction is important for </w:t>
            </w:r>
            <w:r w:rsidRPr="00895E61">
              <w:rPr>
                <w:rFonts w:ascii="Arial" w:hAnsi="Arial" w:cs="Arial"/>
                <w:b/>
                <w:bCs/>
                <w:sz w:val="16"/>
                <w:szCs w:val="16"/>
              </w:rPr>
              <w:t>preventing autoimmunity</w:t>
            </w:r>
            <w:r w:rsidRPr="00895E61">
              <w:rPr>
                <w:rFonts w:ascii="Arial" w:hAnsi="Arial" w:cs="Arial"/>
                <w:sz w:val="16"/>
                <w:szCs w:val="16"/>
              </w:rPr>
              <w:t xml:space="preserve"> by maintaining homeostasis of the immune response.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6534FFDE" w14:textId="08A5A32E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D48DE6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89382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E3C6AD1" w14:textId="7B9C9B4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60C2693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71F9850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2231378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6AEDDB3" w14:textId="1996BCF9" w:rsidR="00582DD2" w:rsidRPr="00C424FC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IDO1</w:t>
            </w:r>
          </w:p>
        </w:tc>
        <w:tc>
          <w:tcPr>
            <w:tcW w:w="3544" w:type="dxa"/>
            <w:vAlign w:val="center"/>
          </w:tcPr>
          <w:p w14:paraId="3D7C06A7" w14:textId="672305C2" w:rsidR="00582DD2" w:rsidRPr="00C424FC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enzyme is thought to play a role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antimicrobial defense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immunoregulation. Through its expression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this enzyme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modulates T-cell behavior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by its peri-cellular catabolization of the essential amino acid tryptophan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A17FA5A" w14:textId="3C8BAAF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4EC25AF" w14:textId="408EA45B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26EA65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9F0CD98" w14:textId="47EDF020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F197377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DEEE97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9ACE10D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6233FA0" w14:textId="314ABCFE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CLEC4F</w:t>
            </w:r>
          </w:p>
        </w:tc>
        <w:tc>
          <w:tcPr>
            <w:tcW w:w="3544" w:type="dxa"/>
            <w:vAlign w:val="center"/>
          </w:tcPr>
          <w:p w14:paraId="717E7B26" w14:textId="7C92E08B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24FC">
              <w:rPr>
                <w:rFonts w:ascii="Arial" w:hAnsi="Arial" w:cs="Arial"/>
                <w:sz w:val="16"/>
                <w:szCs w:val="16"/>
              </w:rPr>
              <w:t xml:space="preserve">Predicted to act upstream of or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within NK T cell activation.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1C475E9D" w14:textId="2D29879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9055F9C" w14:textId="29BD2BB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E31D4D0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8BE1431" w14:textId="5942984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1CF6BC4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373236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88DAE8C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A80B77F" w14:textId="126D8505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IL27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3226364" w14:textId="7B2A5670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24FC">
              <w:rPr>
                <w:rFonts w:ascii="Arial" w:hAnsi="Arial" w:cs="Arial"/>
                <w:sz w:val="16"/>
                <w:szCs w:val="16"/>
              </w:rPr>
              <w:t xml:space="preserve">The protein encoded by this gene is one of the subunits of a heterodimeric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complex. This protein is related to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12A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(IL12A). It interacts with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a protein similar to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12B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(IL12B), and forms a complex that has been shown to drive rapid expansion of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naive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but not memory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CD4(+) T cells.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The complex is also found to synergize strongly with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interleukin 12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to trigger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interferon gamma</w:t>
            </w:r>
            <w:r w:rsidRPr="00C424FC">
              <w:rPr>
                <w:rFonts w:ascii="Arial" w:hAnsi="Arial" w:cs="Arial"/>
                <w:sz w:val="16"/>
                <w:szCs w:val="16"/>
              </w:rPr>
              <w:t xml:space="preserve"> (IFNG) production of </w:t>
            </w:r>
            <w:r w:rsidRPr="00C424FC">
              <w:rPr>
                <w:rFonts w:ascii="Arial" w:hAnsi="Arial" w:cs="Arial"/>
                <w:b/>
                <w:bCs/>
                <w:sz w:val="16"/>
                <w:szCs w:val="16"/>
              </w:rPr>
              <w:t>naive CD4(+) T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94BAA8D" w14:textId="026CEC4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6DAB80B" w14:textId="714A593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D36027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B1C900E" w14:textId="4C4E9682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918382D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2625FA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D2D3FB9" w14:textId="2965159C" w:rsidR="00582DD2" w:rsidRPr="0093164D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3164D">
              <w:rPr>
                <w:rFonts w:ascii="Arial" w:hAnsi="Arial" w:cs="Arial"/>
                <w:b/>
                <w:bCs/>
                <w:sz w:val="16"/>
                <w:szCs w:val="16"/>
              </w:rPr>
              <w:t>Interferons and viral sensing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26F6FF5" w14:textId="0275F8B7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IFIT2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32FCB089" w14:textId="1582691D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551FD">
              <w:rPr>
                <w:rFonts w:ascii="Arial" w:hAnsi="Arial" w:cs="Arial"/>
                <w:sz w:val="16"/>
                <w:szCs w:val="16"/>
              </w:rPr>
              <w:t xml:space="preserve">Among its related pathways are Overview of </w:t>
            </w:r>
            <w:r w:rsidRPr="00C551FD">
              <w:rPr>
                <w:rFonts w:ascii="Arial" w:hAnsi="Arial" w:cs="Arial"/>
                <w:b/>
                <w:bCs/>
                <w:sz w:val="16"/>
                <w:szCs w:val="16"/>
              </w:rPr>
              <w:t>interferons</w:t>
            </w:r>
            <w:r w:rsidRPr="00C551FD">
              <w:rPr>
                <w:rFonts w:ascii="Arial" w:hAnsi="Arial" w:cs="Arial"/>
                <w:sz w:val="16"/>
                <w:szCs w:val="16"/>
              </w:rPr>
              <w:t>-mediated signaling pathway and Cytokine Signaling in Immune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0D3EF4" w14:textId="4B49F213" w:rsidR="00582DD2" w:rsidRPr="00377389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E34DF8C" w14:textId="5B51AFD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D70CD95" w14:textId="67D4872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4B8BB128" w14:textId="5F51C32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844A03B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6C05153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EA4C7A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A35443" w14:textId="5EC02CB8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ZBP1</w:t>
            </w:r>
          </w:p>
        </w:tc>
        <w:tc>
          <w:tcPr>
            <w:tcW w:w="3544" w:type="dxa"/>
            <w:vAlign w:val="center"/>
          </w:tcPr>
          <w:p w14:paraId="6AFC93EC" w14:textId="2607649C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Z-DNA binding protein. The encoded protein plays a role in the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innate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immune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response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by binding to foreign DNA and inducing type-I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production.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6C3BC77" w14:textId="570A2D4A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E222B9F" w14:textId="04AB897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FF05F7C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38BE108" w14:textId="43C671E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D8DF36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C2C62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132B7A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D7E2C6D" w14:textId="2A0AED07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IFI16</w:t>
            </w:r>
          </w:p>
        </w:tc>
        <w:tc>
          <w:tcPr>
            <w:tcW w:w="3544" w:type="dxa"/>
            <w:vAlign w:val="center"/>
          </w:tcPr>
          <w:p w14:paraId="2737CF69" w14:textId="2CF491A3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member of the HIN-200 (hematopoietic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-inducible nuclear antigens with 200 amino acid repeats) family of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290DDA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1CA672" w14:textId="0115D4D0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D2A18D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307B722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A099B0D" w14:textId="3D83F2A1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B93250A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D43616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DFEF26D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7D76C0E" w14:textId="4099873A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SOCS1</w:t>
            </w:r>
          </w:p>
        </w:tc>
        <w:tc>
          <w:tcPr>
            <w:tcW w:w="3544" w:type="dxa"/>
            <w:vAlign w:val="center"/>
          </w:tcPr>
          <w:p w14:paraId="1CFBAE64" w14:textId="13E1A7B3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 xml:space="preserve">This gene encodes a member of the STAT-induced STAT inhibitor (SSI), also known as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suppressor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signaling (SOCS), family. The expression of this gene can be induced by a subset of </w:t>
            </w:r>
            <w:r w:rsidRPr="00382433">
              <w:rPr>
                <w:rFonts w:ascii="Arial" w:hAnsi="Arial" w:cs="Arial"/>
                <w:sz w:val="16"/>
                <w:szCs w:val="16"/>
              </w:rPr>
              <w:t>cytokines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, including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IL2, IL3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(IFN)-gamma. Knockout studies in mice suggested the role of this gene as a 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modulator of IFN-gamma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action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E5DF862" w14:textId="519DA47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60EC16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F1FA6A7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C491AB9" w14:textId="0940EE8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960F322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700724C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C5FB3AF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EF9C54E" w14:textId="2A45948B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IFITM9P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672DC9D7" w14:textId="44BF7A38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90DDA">
              <w:rPr>
                <w:rFonts w:ascii="Arial" w:hAnsi="Arial" w:cs="Arial"/>
                <w:sz w:val="16"/>
                <w:szCs w:val="16"/>
              </w:rPr>
              <w:t>IFITM9P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290DDA">
              <w:rPr>
                <w:rFonts w:ascii="Arial" w:hAnsi="Arial" w:cs="Arial"/>
                <w:sz w:val="16"/>
                <w:szCs w:val="16"/>
              </w:rPr>
              <w:t>(</w:t>
            </w:r>
            <w:r w:rsidRPr="00290DDA">
              <w:rPr>
                <w:rFonts w:ascii="Arial" w:hAnsi="Arial" w:cs="Arial"/>
                <w:b/>
                <w:bCs/>
                <w:sz w:val="16"/>
                <w:szCs w:val="16"/>
              </w:rPr>
              <w:t>Interferon</w:t>
            </w:r>
            <w:r w:rsidRPr="00290DDA">
              <w:rPr>
                <w:rFonts w:ascii="Arial" w:hAnsi="Arial" w:cs="Arial"/>
                <w:sz w:val="16"/>
                <w:szCs w:val="16"/>
              </w:rPr>
              <w:t xml:space="preserve"> Induced Transmembrane Protein 9 Pseudogene) </w:t>
            </w:r>
            <w:r>
              <w:rPr>
                <w:rFonts w:ascii="Arial" w:hAnsi="Arial" w:cs="Arial"/>
                <w:sz w:val="16"/>
                <w:szCs w:val="16"/>
              </w:rPr>
              <w:t>is a p</w:t>
            </w:r>
            <w:r w:rsidRPr="00290DDA">
              <w:rPr>
                <w:rFonts w:ascii="Arial" w:hAnsi="Arial" w:cs="Arial"/>
                <w:sz w:val="16"/>
                <w:szCs w:val="16"/>
              </w:rPr>
              <w:t>seudogene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62A51D3D" w14:textId="16A94491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35F88B8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30CF9B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13D40F70" w14:textId="644BE6E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AB7DABB" w14:textId="77777777" w:rsidTr="00404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BDFAC4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BD149C" w14:textId="4036CEBA" w:rsidR="00582DD2" w:rsidRPr="00C11983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6FD858A1" w14:textId="19FC0711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SERPING1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EDFDE55" w14:textId="2FC74190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a highly glycosylated plasma protein involved in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regulation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of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 cascade.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D611682" w14:textId="58E0F5E8" w:rsidR="00582DD2" w:rsidRPr="00D4307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0A93278" w14:textId="0A2B1040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6021D1A" w14:textId="311B200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2A2363C9" w14:textId="78A93A0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24F48D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61DD574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2D8B9D6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CFF670D" w14:textId="0E601F1E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C3AR1</w:t>
            </w:r>
          </w:p>
        </w:tc>
        <w:tc>
          <w:tcPr>
            <w:tcW w:w="3544" w:type="dxa"/>
            <w:vAlign w:val="center"/>
          </w:tcPr>
          <w:p w14:paraId="7192ABA0" w14:textId="1DC6A93B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C3a is an anaphylatoxin released during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of the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2CF11B0" w14:textId="3BDAFFD8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CE64A7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9C322D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E1CCF73" w14:textId="6956F6A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B8F4224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F65E8E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86B38E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ED9D0C" w14:textId="4C84B700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C1QB</w:t>
            </w:r>
          </w:p>
        </w:tc>
        <w:tc>
          <w:tcPr>
            <w:tcW w:w="3544" w:type="dxa"/>
            <w:vAlign w:val="center"/>
          </w:tcPr>
          <w:p w14:paraId="33A4C022" w14:textId="4C152E45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the B-chain polypeptide of serum </w:t>
            </w:r>
            <w:r w:rsidRPr="00D43076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subcomponent C1q, which associates with C1r and C1s to yield the first component of the serum complement system.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26BA680" w14:textId="053D892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6DF67A7" w14:textId="0954B1C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3981B67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D601EED" w14:textId="11360B39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9F50AA7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2F1229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28C613D2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B3BD569" w14:textId="7F14137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C1QC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7C82238" w14:textId="403CA815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11983">
              <w:rPr>
                <w:rFonts w:ascii="Arial" w:hAnsi="Arial" w:cs="Arial"/>
                <w:sz w:val="16"/>
                <w:szCs w:val="16"/>
              </w:rPr>
              <w:t xml:space="preserve">This gene encodes the C-chain polypeptide of serum </w:t>
            </w:r>
            <w:r w:rsidRPr="00C11983">
              <w:rPr>
                <w:rFonts w:ascii="Arial" w:hAnsi="Arial" w:cs="Arial"/>
                <w:b/>
                <w:bCs/>
                <w:sz w:val="16"/>
                <w:szCs w:val="16"/>
              </w:rPr>
              <w:t>complement</w:t>
            </w:r>
            <w:r w:rsidRPr="00C11983">
              <w:rPr>
                <w:rFonts w:ascii="Arial" w:hAnsi="Arial" w:cs="Arial"/>
                <w:sz w:val="16"/>
                <w:szCs w:val="16"/>
              </w:rPr>
              <w:t xml:space="preserve"> subcomponent C1q.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3D57664" w14:textId="46961C8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F2BAF12" w14:textId="72090943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59E8301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B89A112" w14:textId="5FB55529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37E4658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F70BC1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E418A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10F5044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7CF5E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8E49A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877F36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DA0E37F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A0A958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6AE9B8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DA237F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A350A6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8B1B27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CBDD9B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07358C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DEBAC8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296F0C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235C5D7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6B67D3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95467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07356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EE1C0A5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3E815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8CC455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1FFCC4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02025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2EF262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87E3E9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EF78A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FE410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3A6EE96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E81A1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597CA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A1992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3BB249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75D8921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6A505B" w14:textId="52335C02" w:rsidR="00582DD2" w:rsidRPr="00262F7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</w:p>
          <w:p w14:paraId="62ECF93A" w14:textId="4CC64B01" w:rsidR="00582DD2" w:rsidRPr="00262F7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3822175D" w14:textId="61F39B7E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BST2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EE716D7" w14:textId="2F44A08D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Bone marrow stromal cells are involved in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growth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development of B-cells</w:t>
            </w:r>
            <w:r w:rsidRPr="00262F76">
              <w:rPr>
                <w:rFonts w:ascii="Arial" w:hAnsi="Arial" w:cs="Arial"/>
                <w:sz w:val="16"/>
                <w:szCs w:val="16"/>
              </w:rPr>
              <w:t>. This protein may play a role in pre-B-cell growth.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5263F798" w14:textId="1C683C66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01E529D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6544D6C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6B2AC96D" w14:textId="76D00CA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7CA80C3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E5D7F9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3F5046B" w14:textId="6663817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9B7762E" w14:textId="6D659ED0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LILRB5</w:t>
            </w:r>
          </w:p>
        </w:tc>
        <w:tc>
          <w:tcPr>
            <w:tcW w:w="3544" w:type="dxa"/>
            <w:vAlign w:val="center"/>
          </w:tcPr>
          <w:p w14:paraId="1E3D9F79" w14:textId="4711C2B2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This gene is a member of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leukocyte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of LIR receptors.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D1BB9D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B5B250" w14:textId="0F6713EA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3486AA4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D3EA847" w14:textId="0073A50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A00D9E0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EBA91E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67D302E" w14:textId="310EC478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2BAE0A96" w14:textId="58BD0585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TNFSF13B</w:t>
            </w:r>
          </w:p>
        </w:tc>
        <w:tc>
          <w:tcPr>
            <w:tcW w:w="3544" w:type="dxa"/>
            <w:tcBorders>
              <w:bottom w:val="single" w:sz="4" w:space="0" w:color="666666" w:themeColor="text1" w:themeTint="99"/>
            </w:tcBorders>
            <w:vAlign w:val="center"/>
          </w:tcPr>
          <w:p w14:paraId="4ED8E6F8" w14:textId="0DB0B422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that belongs to the tumor necrosis factor (TNF) ligand family. This cytokine is expressed in B cell lineage cells, and acts as a potent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 activator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. It has been also shown to play an important role in the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proliferation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differentiation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cells</w:t>
            </w:r>
            <w:r w:rsidRPr="00262F7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221A70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12EB08" w14:textId="003B7644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0CF39B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8E52672" w14:textId="0434B2D3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09144E8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DB346E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1B32424" w14:textId="4CD5797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07E6355" w14:textId="5DF3DB45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TNFRSF17</w:t>
            </w:r>
          </w:p>
        </w:tc>
        <w:tc>
          <w:tcPr>
            <w:tcW w:w="354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0BB556E0" w14:textId="05629D33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262F76">
              <w:rPr>
                <w:rFonts w:ascii="Arial" w:hAnsi="Arial" w:cs="Arial"/>
                <w:sz w:val="16"/>
                <w:szCs w:val="16"/>
              </w:rPr>
              <w:t xml:space="preserve">The protein encoded by this gene is a member of the TNF-receptor superfamily. This receptor is preferentially expressed in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mature B lymphocytes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may be important for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B cell development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262F76">
              <w:rPr>
                <w:rFonts w:ascii="Arial" w:hAnsi="Arial" w:cs="Arial"/>
                <w:b/>
                <w:bCs/>
                <w:sz w:val="16"/>
                <w:szCs w:val="16"/>
              </w:rPr>
              <w:t>autoimmune</w:t>
            </w:r>
            <w:r w:rsidRPr="00262F76">
              <w:rPr>
                <w:rFonts w:ascii="Arial" w:hAnsi="Arial" w:cs="Arial"/>
                <w:sz w:val="16"/>
                <w:szCs w:val="16"/>
              </w:rPr>
              <w:t xml:space="preserve"> response.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A96F148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D27C2F" w14:textId="6171820C" w:rsidR="00582DD2" w:rsidRPr="00CD1367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4307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Overexpressed on day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4 and 7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13F2EDE2" w14:textId="7F757E4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699CA7F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4" w:space="0" w:color="808080" w:themeColor="background1" w:themeShade="80"/>
            </w:tcBorders>
            <w:vAlign w:val="center"/>
          </w:tcPr>
          <w:p w14:paraId="39E425F7" w14:textId="30C5EC41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7699A28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0D3964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765FAB9C" w14:textId="6BD4E3B3" w:rsidR="00582DD2" w:rsidRPr="004C458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808080" w:themeColor="background1" w:themeShade="80"/>
            </w:tcBorders>
            <w:vAlign w:val="center"/>
          </w:tcPr>
          <w:p w14:paraId="4F4775C2" w14:textId="3BE60059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JCHAIN</w:t>
            </w:r>
          </w:p>
        </w:tc>
        <w:tc>
          <w:tcPr>
            <w:tcW w:w="3544" w:type="dxa"/>
            <w:tcBorders>
              <w:top w:val="single" w:sz="4" w:space="0" w:color="808080" w:themeColor="background1" w:themeShade="80"/>
            </w:tcBorders>
            <w:vAlign w:val="center"/>
          </w:tcPr>
          <w:p w14:paraId="037D7783" w14:textId="3B7BE53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446EC">
              <w:rPr>
                <w:rFonts w:ascii="Arial" w:hAnsi="Arial" w:cs="Arial"/>
                <w:sz w:val="16"/>
                <w:szCs w:val="16"/>
              </w:rPr>
              <w:t xml:space="preserve">Enables IgA binding activity and protein homodimerization activity. Contributes to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receptor binding activity. Part of monomeric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IgA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immunoglobulin complex; pentameric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IgM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immunoglobulin complex; and secretory dimeric IgA immunoglobulin complex.</w:t>
            </w:r>
          </w:p>
        </w:tc>
        <w:tc>
          <w:tcPr>
            <w:tcW w:w="1417" w:type="dxa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5E7C81" w14:textId="090CBF93" w:rsidR="00582DD2" w:rsidRPr="00B30BCB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  <w:vAlign w:val="center"/>
          </w:tcPr>
          <w:p w14:paraId="66DB6F9A" w14:textId="01A820D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4" w:space="0" w:color="808080" w:themeColor="background1" w:themeShade="80"/>
            </w:tcBorders>
            <w:vAlign w:val="center"/>
          </w:tcPr>
          <w:p w14:paraId="0B5541D6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4" w:space="0" w:color="808080" w:themeColor="background1" w:themeShade="80"/>
            </w:tcBorders>
            <w:vAlign w:val="center"/>
          </w:tcPr>
          <w:p w14:paraId="60CB6EE1" w14:textId="29FF942B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87BFF42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4BEA5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06AD91C" w14:textId="4939A07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E17F384" w14:textId="572E0CDB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IGKV1D-42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IGLV6-57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IGLV1-40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IGLV3-10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BE20F8">
              <w:rPr>
                <w:rFonts w:ascii="Arial" w:hAnsi="Arial" w:cs="Arial"/>
                <w:b/>
                <w:bCs/>
                <w:sz w:val="16"/>
                <w:szCs w:val="16"/>
              </w:rPr>
              <w:t>IGLV3-1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IGLV3-27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AF1093">
              <w:rPr>
                <w:rFonts w:ascii="Arial" w:hAnsi="Arial" w:cs="Arial"/>
                <w:b/>
                <w:bCs/>
                <w:sz w:val="16"/>
                <w:szCs w:val="16"/>
              </w:rPr>
              <w:t>IGKV1-16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</w:t>
            </w:r>
          </w:p>
        </w:tc>
        <w:tc>
          <w:tcPr>
            <w:tcW w:w="3544" w:type="dxa"/>
            <w:vAlign w:val="center"/>
          </w:tcPr>
          <w:p w14:paraId="341972A5" w14:textId="77777777" w:rsidR="00582DD2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BCA67B0" w14:textId="77777777" w:rsidR="00582DD2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E601D1" w14:textId="4F500486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446EC">
              <w:rPr>
                <w:rFonts w:ascii="Arial" w:hAnsi="Arial" w:cs="Arial"/>
                <w:sz w:val="16"/>
                <w:szCs w:val="16"/>
              </w:rPr>
              <w:t xml:space="preserve">Predicted to be involved in immune response and to be part of </w:t>
            </w:r>
            <w:r w:rsidRPr="008446E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8446EC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DE09A4C" w14:textId="1CB5CF3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F98B92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76CFA0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C8C3AB0" w14:textId="7104278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AB44D0C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E0CED1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6435A08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1FCC0C5" w14:textId="40F077E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6D7D951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7FC81E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D118A83" w14:textId="75DF9DA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4FB9183" w14:textId="51BE4E74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IGLV3-25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6672B8">
              <w:rPr>
                <w:rFonts w:ascii="Arial" w:hAnsi="Arial" w:cs="Arial"/>
                <w:b/>
                <w:bCs/>
                <w:sz w:val="16"/>
                <w:szCs w:val="16"/>
              </w:rPr>
              <w:t>IGLV3-19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AF1093">
              <w:rPr>
                <w:rFonts w:ascii="Arial" w:hAnsi="Arial" w:cs="Arial"/>
                <w:b/>
                <w:bCs/>
                <w:sz w:val="16"/>
                <w:szCs w:val="16"/>
              </w:rPr>
              <w:t>IGKV1-5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527326F1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672B8">
              <w:rPr>
                <w:rFonts w:ascii="Arial" w:hAnsi="Arial" w:cs="Arial"/>
                <w:sz w:val="16"/>
                <w:szCs w:val="16"/>
              </w:rPr>
              <w:t>Predicted to be involved in immune response.</w:t>
            </w:r>
          </w:p>
          <w:p w14:paraId="220A4B33" w14:textId="0C0DCECF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14:paraId="7FF3999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3F596E82" w14:textId="0B0E8884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4F153E8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92CCD97" w14:textId="4797F39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2D1178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1B8F2DD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F49B41F" w14:textId="055607E9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98FC6B5" w14:textId="6B4849EA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IGLC2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 IGLC3</w:t>
            </w:r>
          </w:p>
        </w:tc>
        <w:tc>
          <w:tcPr>
            <w:tcW w:w="3544" w:type="dxa"/>
            <w:vAlign w:val="center"/>
          </w:tcPr>
          <w:p w14:paraId="5BC6D622" w14:textId="66F776A5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30BCB">
              <w:rPr>
                <w:rFonts w:ascii="Arial" w:hAnsi="Arial" w:cs="Arial"/>
                <w:sz w:val="16"/>
                <w:szCs w:val="16"/>
              </w:rPr>
              <w:t>Predicted to enable antigen binding activity and immunoglobulin receptor binding activity and to be involved in activation of immune response</w:t>
            </w:r>
          </w:p>
        </w:tc>
        <w:tc>
          <w:tcPr>
            <w:tcW w:w="1417" w:type="dxa"/>
            <w:vMerge/>
            <w:vAlign w:val="center"/>
          </w:tcPr>
          <w:p w14:paraId="7611C205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24D3AB2" w14:textId="3E8F8530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07D1825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B8184D2" w14:textId="22F555D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506F402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0925C8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9F3B1A1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4F2557C" w14:textId="7693F95B" w:rsidR="00582DD2" w:rsidRPr="00B30BCB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3F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IGHV1-67 and IGHGP  </w:t>
            </w:r>
          </w:p>
        </w:tc>
        <w:tc>
          <w:tcPr>
            <w:tcW w:w="3544" w:type="dxa"/>
            <w:vMerge w:val="restart"/>
            <w:vAlign w:val="center"/>
          </w:tcPr>
          <w:p w14:paraId="0FC67AC0" w14:textId="66EACFE7" w:rsidR="00582DD2" w:rsidRPr="00B30BCB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A5500">
              <w:rPr>
                <w:rFonts w:ascii="Arial" w:hAnsi="Arial" w:cs="Arial"/>
                <w:sz w:val="16"/>
                <w:szCs w:val="16"/>
              </w:rPr>
              <w:t>IGHV1-67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A5500">
              <w:rPr>
                <w:rFonts w:ascii="Arial" w:hAnsi="Arial" w:cs="Arial"/>
                <w:sz w:val="16"/>
                <w:szCs w:val="16"/>
              </w:rPr>
              <w:t xml:space="preserve">IGHGP  </w:t>
            </w:r>
            <w:r>
              <w:rPr>
                <w:rFonts w:ascii="Arial" w:hAnsi="Arial" w:cs="Arial"/>
                <w:sz w:val="16"/>
                <w:szCs w:val="16"/>
              </w:rPr>
              <w:t xml:space="preserve">and </w:t>
            </w:r>
            <w:r w:rsidRPr="00CA5500">
              <w:rPr>
                <w:rFonts w:ascii="Arial" w:hAnsi="Arial" w:cs="Arial"/>
                <w:sz w:val="16"/>
                <w:szCs w:val="16"/>
              </w:rPr>
              <w:t>IGHV4-55</w:t>
            </w:r>
            <w:r>
              <w:rPr>
                <w:rFonts w:ascii="Arial" w:hAnsi="Arial" w:cs="Arial"/>
                <w:sz w:val="16"/>
                <w:szCs w:val="16"/>
              </w:rPr>
              <w:t xml:space="preserve"> are pseudogenes.</w:t>
            </w:r>
          </w:p>
        </w:tc>
        <w:tc>
          <w:tcPr>
            <w:tcW w:w="1417" w:type="dxa"/>
            <w:vMerge/>
            <w:vAlign w:val="center"/>
          </w:tcPr>
          <w:p w14:paraId="4C5FBF3D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0385670" w14:textId="789E2243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5C58C0E8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3ED634A" w14:textId="65955674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40DD50D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97B4995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C29A6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9A9D02F" w14:textId="37269871" w:rsidR="00582DD2" w:rsidRPr="00BB13FB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3FB">
              <w:rPr>
                <w:rFonts w:ascii="Arial" w:hAnsi="Arial" w:cs="Arial"/>
                <w:b/>
                <w:bCs/>
                <w:sz w:val="16"/>
                <w:szCs w:val="16"/>
              </w:rPr>
              <w:t>IGHV4-55</w:t>
            </w:r>
          </w:p>
        </w:tc>
        <w:tc>
          <w:tcPr>
            <w:tcW w:w="3544" w:type="dxa"/>
            <w:vMerge/>
            <w:vAlign w:val="center"/>
          </w:tcPr>
          <w:p w14:paraId="12A47D75" w14:textId="77777777" w:rsidR="00582DD2" w:rsidRPr="00BB13FB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4B6DB7F0" w14:textId="717FF41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4B364223" w14:textId="0A52900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7B940B48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981CFC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42401AB4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A80421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574B1CC" w14:textId="0961CD2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8D59B21" w14:textId="1D9EF443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IGHA1</w:t>
            </w:r>
          </w:p>
        </w:tc>
        <w:tc>
          <w:tcPr>
            <w:tcW w:w="3544" w:type="dxa"/>
            <w:vAlign w:val="center"/>
          </w:tcPr>
          <w:p w14:paraId="75AD076B" w14:textId="37FE2ED4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30BCB">
              <w:rPr>
                <w:rFonts w:ascii="Arial" w:hAnsi="Arial" w:cs="Arial"/>
                <w:sz w:val="16"/>
                <w:szCs w:val="16"/>
              </w:rPr>
              <w:t xml:space="preserve">Contributes to </w:t>
            </w:r>
            <w:r w:rsidRPr="00B30BCB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receptor binding activity. Part of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monomeric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IgA immunoglobulin complex and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secretory dimeric IgA</w:t>
            </w:r>
            <w:r w:rsidRPr="00B30BC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immunoglobulin complex</w:t>
            </w:r>
            <w:r w:rsidRPr="00B30BCB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A028A30" w14:textId="3F927ADB" w:rsidR="00582DD2" w:rsidRPr="008123C0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7BFFB9" w14:textId="16A32333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60E1D19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67F0719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6A4CC06F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04D565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1F51C9F" w14:textId="2F004796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357C645" w14:textId="2DE97BA9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IGHG1</w:t>
            </w:r>
          </w:p>
        </w:tc>
        <w:tc>
          <w:tcPr>
            <w:tcW w:w="3544" w:type="dxa"/>
            <w:vAlign w:val="center"/>
          </w:tcPr>
          <w:p w14:paraId="695E1BFB" w14:textId="6D44FA05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0313F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receptor binding activity, to be involved in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activation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immune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response, to act upstream of or within several processes, including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0313F">
              <w:rPr>
                <w:rFonts w:ascii="Arial" w:hAnsi="Arial" w:cs="Arial"/>
                <w:sz w:val="16"/>
                <w:szCs w:val="16"/>
              </w:rPr>
              <w:t xml:space="preserve"> mediated immune response and positive regulation of </w:t>
            </w: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hypersensitivity</w:t>
            </w:r>
            <w:r w:rsidRPr="00C0313F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A6460FF" w14:textId="5135FB5D" w:rsidR="00582DD2" w:rsidRPr="008123C0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57E9F74B" w14:textId="45F986C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5C0DE3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31A12B7" w14:textId="10B4058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25167ED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1D7F46E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6CEF670" w14:textId="3AF679B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CD0F237" w14:textId="090373EC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IGHV1-24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IGHV4-28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IGHV1-45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IGHV1-46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1E3924">
              <w:rPr>
                <w:rFonts w:ascii="Arial" w:hAnsi="Arial" w:cs="Arial"/>
                <w:b/>
                <w:bCs/>
                <w:sz w:val="16"/>
                <w:szCs w:val="16"/>
              </w:rPr>
              <w:t>IGHV3-20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IGHV3-33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IGHV4-34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IGHV5-51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IGHV2-70D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</w:t>
            </w:r>
            <w:r>
              <w:t xml:space="preserve"> </w:t>
            </w:r>
            <w:r w:rsidRPr="00C0313F">
              <w:rPr>
                <w:rFonts w:ascii="Arial" w:hAnsi="Arial" w:cs="Arial"/>
                <w:b/>
                <w:bCs/>
                <w:sz w:val="16"/>
                <w:szCs w:val="16"/>
              </w:rPr>
              <w:t>IGHV4-31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 </w:t>
            </w:r>
          </w:p>
        </w:tc>
        <w:tc>
          <w:tcPr>
            <w:tcW w:w="3544" w:type="dxa"/>
            <w:vMerge w:val="restart"/>
            <w:vAlign w:val="center"/>
          </w:tcPr>
          <w:p w14:paraId="42E0B1FC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3606F95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EA9BE48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BBE0ADA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779FB96E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38A9174" w14:textId="77777777" w:rsidR="00582DD2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36E9056B" w14:textId="4599ACE4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0313F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immunoglobulin receptor binding activity, to be involved in activation of immune response and  </w:t>
            </w:r>
            <w:r w:rsidRPr="00C0313F">
              <w:rPr>
                <w:rFonts w:ascii="Arial" w:hAnsi="Arial" w:cs="Arial"/>
                <w:sz w:val="16"/>
                <w:szCs w:val="16"/>
              </w:rPr>
              <w:lastRenderedPageBreak/>
              <w:t>to be part of immunoglobulin complex, circulating.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481A0C1" w14:textId="77777777" w:rsidR="00582DD2" w:rsidRPr="008123C0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C00DF83" w14:textId="71D1E8E8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688B5E6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5B2AADB" w14:textId="1CE0F2A3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019ADB2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80CDD2B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608D8E04" w14:textId="006E84A9" w:rsidR="00582DD2" w:rsidRPr="00A32F9F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18E0FAA" w14:textId="4B7BED3C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IGHV2-26</w:t>
            </w:r>
          </w:p>
        </w:tc>
        <w:tc>
          <w:tcPr>
            <w:tcW w:w="3544" w:type="dxa"/>
            <w:vMerge/>
            <w:vAlign w:val="center"/>
          </w:tcPr>
          <w:p w14:paraId="31FBA8ED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E8C6078" w14:textId="582F35E1" w:rsidR="00582DD2" w:rsidRPr="008123C0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0A5DA34E" w14:textId="7968DE5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54E944B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29BDA7C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15B50C69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429802C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726F12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BFE1E7E" w14:textId="3AC623D3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>IGHV3-64</w:t>
            </w:r>
          </w:p>
        </w:tc>
        <w:tc>
          <w:tcPr>
            <w:tcW w:w="3544" w:type="dxa"/>
            <w:vMerge/>
            <w:vAlign w:val="center"/>
          </w:tcPr>
          <w:p w14:paraId="2EE47987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E16FAE6" w14:textId="3139EE18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8123C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Overexpressed on day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34" w:type="dxa"/>
            <w:vAlign w:val="center"/>
          </w:tcPr>
          <w:p w14:paraId="22A40EA4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AD26F31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6005476" w14:textId="166FE27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56253A8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77C3327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2C3514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A12297F" w14:textId="30AAD9E9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371BC">
              <w:rPr>
                <w:rFonts w:ascii="Arial" w:hAnsi="Arial" w:cs="Arial"/>
                <w:b/>
                <w:bCs/>
                <w:sz w:val="16"/>
                <w:szCs w:val="16"/>
              </w:rPr>
              <w:t>IGHG3</w:t>
            </w:r>
          </w:p>
        </w:tc>
        <w:tc>
          <w:tcPr>
            <w:tcW w:w="3544" w:type="dxa"/>
            <w:vAlign w:val="center"/>
          </w:tcPr>
          <w:p w14:paraId="65CECE04" w14:textId="6F1BE488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371BC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0371B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0371BC">
              <w:rPr>
                <w:rFonts w:ascii="Arial" w:hAnsi="Arial" w:cs="Arial"/>
                <w:sz w:val="16"/>
                <w:szCs w:val="16"/>
              </w:rPr>
              <w:t xml:space="preserve"> receptor binding activity.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49C26A56" w14:textId="445C1109" w:rsidR="00582DD2" w:rsidRPr="001F5C3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F5C38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42763AE3" w14:textId="7DA3BCF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4CBDE18B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B826B7D" w14:textId="0D94E8A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47AA520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830252D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A0F24B0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51FF38A5" w14:textId="43873078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F50E2">
              <w:rPr>
                <w:rFonts w:ascii="Arial" w:hAnsi="Arial" w:cs="Arial"/>
                <w:b/>
                <w:bCs/>
                <w:sz w:val="16"/>
                <w:szCs w:val="16"/>
              </w:rPr>
              <w:t>VSIG10L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72D016F" w14:textId="2607FA1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AF50E2">
              <w:rPr>
                <w:rFonts w:ascii="Arial" w:hAnsi="Arial" w:cs="Arial"/>
                <w:sz w:val="16"/>
                <w:szCs w:val="16"/>
              </w:rPr>
              <w:t xml:space="preserve">VSIG10L (V-Set And </w:t>
            </w:r>
            <w:r w:rsidRPr="00AF50E2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AF50E2">
              <w:rPr>
                <w:rFonts w:ascii="Arial" w:hAnsi="Arial" w:cs="Arial"/>
                <w:sz w:val="16"/>
                <w:szCs w:val="16"/>
              </w:rPr>
              <w:t xml:space="preserve"> Domain Containing 10 Like) is a Protein Coding gene.</w:t>
            </w:r>
          </w:p>
        </w:tc>
        <w:tc>
          <w:tcPr>
            <w:tcW w:w="1417" w:type="dxa"/>
            <w:vMerge/>
            <w:vAlign w:val="center"/>
          </w:tcPr>
          <w:p w14:paraId="249CE3F4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31E1DF4F" w14:textId="1B120D30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140A11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6771669E" w14:textId="1E90B332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7D11CC9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1FE052E" w14:textId="5E915486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199371" w14:textId="7A491DD6" w:rsidR="00582DD2" w:rsidRPr="00A873FA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 transduction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07BD7D8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53A5F2B" w14:textId="07DEC1C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0D0">
              <w:rPr>
                <w:rFonts w:ascii="Arial" w:hAnsi="Arial" w:cs="Arial"/>
                <w:b/>
                <w:bCs/>
                <w:sz w:val="16"/>
                <w:szCs w:val="16"/>
              </w:rPr>
              <w:t>LIF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B61DE0C" w14:textId="57062796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E70D0">
              <w:rPr>
                <w:rFonts w:ascii="Arial" w:hAnsi="Arial" w:cs="Arial"/>
                <w:sz w:val="16"/>
                <w:szCs w:val="16"/>
              </w:rPr>
              <w:t xml:space="preserve">The protein encoded by this gene is a pleiotropic </w:t>
            </w:r>
            <w:r w:rsidRPr="00BE70D0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BE70D0">
              <w:rPr>
                <w:rFonts w:ascii="Arial" w:hAnsi="Arial" w:cs="Arial"/>
                <w:sz w:val="16"/>
                <w:szCs w:val="16"/>
              </w:rPr>
              <w:t xml:space="preserve"> with roles in several different systems. It have a role in immune tolerance at the maternal-fetal interface.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receptor binding</w:t>
            </w:r>
          </w:p>
        </w:tc>
        <w:tc>
          <w:tcPr>
            <w:tcW w:w="1417" w:type="dxa"/>
            <w:vMerge/>
            <w:vAlign w:val="center"/>
          </w:tcPr>
          <w:p w14:paraId="44903BA4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6C4CCEC7" w14:textId="7FE6BCA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4656FD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9A59E14" w14:textId="3D669B6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DCADA2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41AE53C9" w14:textId="627FD993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BF3C28C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C4A31E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5690718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941E295" w14:textId="7C492EA9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TNFSF10</w:t>
            </w:r>
          </w:p>
        </w:tc>
        <w:tc>
          <w:tcPr>
            <w:tcW w:w="3544" w:type="dxa"/>
            <w:vAlign w:val="center"/>
          </w:tcPr>
          <w:p w14:paraId="6F9E572D" w14:textId="2E219BF5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>The protein encoded by this gene is a cytokine that belongs to the tumor necrosis factor (TNF) ligand family. This protein binds to several members of TNF receptor superfamily.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 receptor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binding</w:t>
            </w:r>
          </w:p>
        </w:tc>
        <w:tc>
          <w:tcPr>
            <w:tcW w:w="1417" w:type="dxa"/>
            <w:vMerge/>
            <w:vAlign w:val="center"/>
          </w:tcPr>
          <w:p w14:paraId="28834CAA" w14:textId="7413065A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5020DE36" w14:textId="2D77BF65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vAlign w:val="center"/>
          </w:tcPr>
          <w:p w14:paraId="17F9B043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60EBAA5E" w14:textId="65F651D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5769E98" w14:textId="77777777" w:rsidTr="0040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auto"/>
            </w:tcBorders>
            <w:vAlign w:val="center"/>
          </w:tcPr>
          <w:p w14:paraId="63D1D7E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455112A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E8033FA" w14:textId="117A734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gramStart"/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IL17RD</w:t>
            </w:r>
            <w:proofErr w:type="gramEnd"/>
          </w:p>
        </w:tc>
        <w:tc>
          <w:tcPr>
            <w:tcW w:w="3544" w:type="dxa"/>
            <w:vAlign w:val="center"/>
          </w:tcPr>
          <w:p w14:paraId="2756CEBF" w14:textId="6A5EA989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B1FA8">
              <w:rPr>
                <w:rFonts w:ascii="Arial" w:hAnsi="Arial" w:cs="Arial"/>
                <w:sz w:val="16"/>
                <w:szCs w:val="16"/>
              </w:rPr>
              <w:t xml:space="preserve">This gene encodes a membrane protein belonging to the </w:t>
            </w: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interleukin-17</w:t>
            </w:r>
            <w:r w:rsidRPr="00BB1FA8">
              <w:rPr>
                <w:rFonts w:ascii="Arial" w:hAnsi="Arial" w:cs="Arial"/>
                <w:sz w:val="16"/>
                <w:szCs w:val="16"/>
              </w:rPr>
              <w:t xml:space="preserve"> receptor (IL-17R) protein family. The encoded protein is a component of the interleukin-17 receptor signaling complex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Among its related pathways are RAF/MAP kinase cascade and IL-17 Family </w:t>
            </w:r>
            <w:r w:rsidRPr="00A873FA">
              <w:rPr>
                <w:rFonts w:ascii="Arial" w:hAnsi="Arial" w:cs="Arial"/>
                <w:b/>
                <w:bCs/>
                <w:sz w:val="16"/>
                <w:szCs w:val="16"/>
              </w:rPr>
              <w:t>Signaling Pathways.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68BDDBF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2ACBB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F160B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16A5F1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E2CEF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D24981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701F5B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76476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CB69C3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B33F9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E8A69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159ECE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4CE1A0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FEB2A9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A60B661" w14:textId="22546298" w:rsidR="00582DD2" w:rsidRPr="00BB1FA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B1FA8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  <w:p w14:paraId="48462F75" w14:textId="60ABCA32" w:rsidR="00582DD2" w:rsidRPr="00BB1FA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47976C9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2D31C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BDB41C3" w14:textId="746A74DA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73820B6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auto"/>
              <w:left w:val="single" w:sz="4" w:space="0" w:color="808080" w:themeColor="background1" w:themeShade="80"/>
            </w:tcBorders>
            <w:vAlign w:val="center"/>
          </w:tcPr>
          <w:p w14:paraId="77343038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D8AB40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52A275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8988B42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3826AE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C9D5810" w14:textId="1F232D02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 w:rsidRPr="00404D82"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  <w:p w14:paraId="60126AC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96936D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6A7069A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ED8211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5CF5C4B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4A76A1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8320DB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DFD7498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3380AEB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5542B4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35B877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72986E9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295C22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2630CA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BD98E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69993C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B2D22C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FC4A9D" w14:textId="77777777" w:rsidR="00582DD2" w:rsidRDefault="00582DD2" w:rsidP="00582DD2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528B96F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76984D5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00C5740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C081E68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  <w:p w14:paraId="62D6DFB5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63866E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F5C3C82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A15A989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91B1B3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7F3FDCA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3FF0104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52111FC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0BA396B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1646AF9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F16CC3D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61830FF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00778B8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5151BA5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E47BC5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739C1B5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8A5293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D89172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660559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4B80EC7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B401EC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F18A7C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0FD2A19A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1A4A34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B562B34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A619A60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ED23CD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0BE36A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538F1482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6F2A48F2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EB802B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83D3D52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11AE702C" w14:textId="20664D3B" w:rsidR="00582DD2" w:rsidRPr="00404D8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CONTROL GROUP</w:t>
            </w: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C12142F" w14:textId="249620F7" w:rsidR="00582DD2" w:rsidRPr="009C0B3C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Antimicrobial response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C9D44DD" w14:textId="1C1020FE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TRAFD1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8679A72" w14:textId="4630B7A6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The innate immune system confers host defense against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viral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</w:t>
            </w:r>
            <w:r w:rsidRPr="007B0E45">
              <w:rPr>
                <w:rFonts w:ascii="Arial" w:hAnsi="Arial" w:cs="Arial"/>
                <w:sz w:val="16"/>
                <w:szCs w:val="16"/>
              </w:rPr>
              <w:t>microbial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infection,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TRAFD1 is a negative feedback regulator that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controls excessive immune responses.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99CB7D2" w14:textId="0BE3B9EF" w:rsidR="00582DD2" w:rsidRPr="009C0B3C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44B3CD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14:paraId="52B2A85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AF229BE" w14:textId="3DFE7849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4112AD6" w14:textId="77777777" w:rsidTr="00D04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C0461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4ECCA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90E281E" w14:textId="7CE3FE80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ACOD1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F25CDA2" w14:textId="51A77C58" w:rsidR="00582DD2" w:rsidRPr="009C0B3C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Involved in defense response; positive regulation of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antimicrobial humoral response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; and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tolerance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induction to lipopolysaccharide.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84E8550" w14:textId="77777777" w:rsidR="00582DD2" w:rsidRPr="009C0B3C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5D102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14:paraId="5841639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64CE7" w14:textId="20A981B1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7BF65F8" w14:textId="77777777" w:rsidTr="00D0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BEFB36C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572099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877F9E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C7FCAD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B4CA17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9DC962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E3BB84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4DCC87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37C49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89A8A98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2A10A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4831B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5C31DDC" w14:textId="22CDEEA0" w:rsidR="00582DD2" w:rsidRPr="009C0B3C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Inflammatory, TLR and chemokines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195D62DB" w14:textId="693E3476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LILRB1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EA62E8C" w14:textId="116AC70F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This gene is a member of the leukocyte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-like receptor (LIR) family. The encoded protein belongs to the subfamily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B class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of LIR receptors. The receptor is expressed on immune cells where it binds to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MHC class I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molecules on antigen-presenting cells and transduces a negative signal that inhibits stimulation of an immune response. It is thought to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control inflammatory responses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cytotoxicity to help focus the immune response and limit autoreactivity.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854732C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AD32F4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2CAB8C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261E696E" w14:textId="34A35160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686961F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0F5751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39AA48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EA71528" w14:textId="0987DFE9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SIGLEC11</w:t>
            </w:r>
          </w:p>
        </w:tc>
        <w:tc>
          <w:tcPr>
            <w:tcW w:w="3544" w:type="dxa"/>
            <w:vAlign w:val="center"/>
          </w:tcPr>
          <w:p w14:paraId="2AE3685D" w14:textId="6DF7B7A8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This gene encodes a member of the sialic acid-binding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-like lectin family. This family member mediates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anti-inflammatory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and immunosuppressive signaling.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7127808A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37B164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412B49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CA6653D" w14:textId="534D9653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7D49498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9BC99E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36983A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11ED1310" w14:textId="37C21F5D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AZU1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4F00FB6B" w14:textId="1E2A6909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C0B3C">
              <w:rPr>
                <w:rFonts w:ascii="Arial" w:hAnsi="Arial" w:cs="Arial"/>
                <w:sz w:val="16"/>
                <w:szCs w:val="16"/>
              </w:rPr>
              <w:t xml:space="preserve">Azurophil granules, specialized lysosomes of the neutrophil, contain at least 10 proteins implicated in the killing of microorganisms. This gene encodes a preproprotein that is proteolytically processed to generate a mature azurophil granule antibiotic protein, with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monocyte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chemotactic and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antimicrobial activity.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It is also an important multifunctional </w:t>
            </w: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inflammatory</w:t>
            </w:r>
            <w:r w:rsidRPr="009C0B3C">
              <w:rPr>
                <w:rFonts w:ascii="Arial" w:hAnsi="Arial" w:cs="Arial"/>
                <w:sz w:val="16"/>
                <w:szCs w:val="16"/>
              </w:rPr>
              <w:t xml:space="preserve"> mediator.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73BA10F5" w14:textId="25DA878A" w:rsidR="00582DD2" w:rsidRPr="009C0B3C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C0B3C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7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44298615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809AFD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6ACA220" w14:textId="5C0C315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DBB9C58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AB4ADD8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07E3739" w14:textId="648E1ADA" w:rsidR="00582DD2" w:rsidRPr="007B0E45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953EE" w14:textId="6A1154AD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SMAD1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B5C393" w14:textId="17D299B2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B0E45">
              <w:rPr>
                <w:rFonts w:ascii="Arial" w:hAnsi="Arial" w:cs="Arial"/>
                <w:sz w:val="16"/>
                <w:szCs w:val="16"/>
              </w:rPr>
              <w:t xml:space="preserve">This protein mediates the signals of the bone morphogenetic proteins (BMPs), which are involved in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 and development and immune responses.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19E6BF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268EF8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CB782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31CD0D1" w14:textId="0EBAB557" w:rsidR="00582DD2" w:rsidRPr="007B0E45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383C9C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31E0A7B1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8E0752" w14:textId="1372C30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B151FD3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32CF7AF0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CAC2520" w14:textId="65DD6290" w:rsidR="00582DD2" w:rsidRPr="007B0E45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53191198" w14:textId="41294272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CD68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03C4CD50" w14:textId="47AC576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7B0E45">
              <w:rPr>
                <w:rFonts w:ascii="Arial" w:hAnsi="Arial" w:cs="Arial"/>
                <w:sz w:val="16"/>
                <w:szCs w:val="16"/>
              </w:rPr>
              <w:t xml:space="preserve">This gene encodes a 110-kD transmembrane glycoprotein that is highly expressed by human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 and tissue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7B0E45">
              <w:rPr>
                <w:rFonts w:ascii="Arial" w:hAnsi="Arial" w:cs="Arial"/>
                <w:sz w:val="16"/>
                <w:szCs w:val="16"/>
              </w:rPr>
              <w:t xml:space="preserve">. The protein is also a member of the scavenger receptor family. Scavenger receptors mediate the recruitment and </w:t>
            </w:r>
            <w:r w:rsidRPr="007B0E45">
              <w:rPr>
                <w:rFonts w:ascii="Arial" w:hAnsi="Arial" w:cs="Arial"/>
                <w:b/>
                <w:bCs/>
                <w:sz w:val="16"/>
                <w:szCs w:val="16"/>
              </w:rPr>
              <w:t>activation of macrophages.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005286A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50EC46BE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362D7DE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2002841" w14:textId="3958B4B6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19BC29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577FB5C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6F2C407" w14:textId="3C9DCE16" w:rsidR="00582DD2" w:rsidRPr="00C21A23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T cell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56FE95" w14:textId="053F17FC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IDO-1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6718342" w14:textId="1A8A01FF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enzyme is thought to play a role in immunoregulation, and antioxidant activity. Through its expression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dendritic cells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, and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this enzyme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modulates T-cell behavior</w:t>
            </w:r>
            <w:r w:rsidRPr="00C21A23">
              <w:rPr>
                <w:rFonts w:ascii="Arial" w:hAnsi="Arial" w:cs="Arial"/>
                <w:sz w:val="16"/>
                <w:szCs w:val="16"/>
              </w:rPr>
              <w:t xml:space="preserve"> by its peri-cellular catabolization of the essential amino acid tryptophan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BC52862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AB1449" w14:textId="3C76609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F3628CE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C86372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5390EBDC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5C03A6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8DAD3A" w14:textId="212C0B2F" w:rsidR="00582DD2" w:rsidRPr="00C21A23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5928">
              <w:rPr>
                <w:rFonts w:ascii="Arial" w:hAnsi="Arial" w:cs="Arial"/>
                <w:b/>
                <w:bCs/>
                <w:sz w:val="16"/>
                <w:szCs w:val="16"/>
                <w:shd w:val="clear" w:color="auto" w:fill="F2F2F2" w:themeFill="background1" w:themeFillShade="F2"/>
              </w:rPr>
              <w:t>Platelet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aggregation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3B772B" w14:textId="31B5DFF1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P2RY12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577214" w14:textId="295D0089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receptor is involved in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platelet aggregation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C051B7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A0BBB69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2F21949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4D6E65" w14:textId="6FEA5565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9FEDB40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1632B0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ACF6E8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6EAD2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F37C7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04B573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E8F58A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40F8E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973A74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7AA61B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CCFFD0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489C97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0CC3B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2CB056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7A907D4" w14:textId="54119CFA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</w:p>
          <w:p w14:paraId="0489DC4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D2A9D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3064F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25DB3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841A247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BADFF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4E559E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06E984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069264A" w14:textId="77777777" w:rsidR="00582DD2" w:rsidRPr="00C21A23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476E9EF" w14:textId="5814BEFE" w:rsidR="00582DD2" w:rsidRPr="00C21A23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F964B9" w14:textId="09D3EDD5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CLDN23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A99BA17" w14:textId="2257B41C" w:rsidR="00582DD2" w:rsidRPr="00C21A23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21A23">
              <w:rPr>
                <w:rFonts w:ascii="Arial" w:hAnsi="Arial" w:cs="Arial"/>
                <w:sz w:val="16"/>
                <w:szCs w:val="16"/>
              </w:rPr>
              <w:t xml:space="preserve">This gene is expressed in germinal center </w:t>
            </w:r>
            <w:r w:rsidRPr="00C21A23">
              <w:rPr>
                <w:rFonts w:ascii="Arial" w:hAnsi="Arial" w:cs="Arial"/>
                <w:b/>
                <w:bCs/>
                <w:sz w:val="16"/>
                <w:szCs w:val="16"/>
              </w:rPr>
              <w:t>B-cells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84D6A1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2AA2E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B8252D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6FE18" w14:textId="19A564B3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CED9260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4183FC4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5153087C" w14:textId="377BCEAC" w:rsidR="00582DD2" w:rsidRPr="00E7592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979656B" w14:textId="213298D9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75928">
              <w:rPr>
                <w:rFonts w:ascii="Arial" w:hAnsi="Arial" w:cs="Arial"/>
                <w:b/>
                <w:bCs/>
                <w:sz w:val="16"/>
                <w:szCs w:val="16"/>
              </w:rPr>
              <w:t>LILRP2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4134BB0C" w14:textId="38CEAEF8" w:rsidR="00582DD2" w:rsidRPr="00E75928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6F0FE1">
              <w:rPr>
                <w:rFonts w:ascii="Arial" w:hAnsi="Arial" w:cs="Arial"/>
                <w:b/>
                <w:bCs/>
                <w:sz w:val="16"/>
                <w:szCs w:val="16"/>
              </w:rPr>
              <w:t>LILRP2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E75928">
              <w:rPr>
                <w:rFonts w:ascii="Arial" w:hAnsi="Arial" w:cs="Arial"/>
                <w:sz w:val="16"/>
                <w:szCs w:val="16"/>
              </w:rPr>
              <w:t>(Leukocyte Immunoglobulin-Like Receptor Pseudogene 2)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is a pseudogene</w:t>
            </w:r>
          </w:p>
        </w:tc>
        <w:tc>
          <w:tcPr>
            <w:tcW w:w="1417" w:type="dxa"/>
            <w:vMerge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EF89AE5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425B0D5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A1CC89C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7D48CD01" w14:textId="6C1B2A92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43BD6FC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9F103A3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1E254674" w14:textId="77777777" w:rsidR="00582DD2" w:rsidRPr="00E7592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170C9980" w14:textId="184D02B0" w:rsidR="00582DD2" w:rsidRPr="00E7592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IGKV6-21</w:t>
            </w:r>
          </w:p>
        </w:tc>
        <w:tc>
          <w:tcPr>
            <w:tcW w:w="3544" w:type="dxa"/>
            <w:vMerge w:val="restart"/>
            <w:vAlign w:val="center"/>
          </w:tcPr>
          <w:p w14:paraId="5969704E" w14:textId="4CA4D640" w:rsidR="00582DD2" w:rsidRPr="005723E9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be involved in immune response and to be part of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D065201" w14:textId="3F6FACD4" w:rsidR="00582DD2" w:rsidRPr="005723E9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3684B8E5" w14:textId="3A46298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CB5FC70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CA226F6" w14:textId="30B47BE2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80217F5" w14:textId="77777777" w:rsidTr="0038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D4315AD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1A38E6E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A9BB9BF" w14:textId="42BFF89D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IGKV1D-16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  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IGKV1-27</w:t>
            </w:r>
          </w:p>
        </w:tc>
        <w:tc>
          <w:tcPr>
            <w:tcW w:w="3544" w:type="dxa"/>
            <w:vMerge/>
            <w:vAlign w:val="center"/>
          </w:tcPr>
          <w:p w14:paraId="5331BF89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710A5B4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2FB02D2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4D4B4EE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E04113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6D1CC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68DBADE" w14:textId="0B2D5045" w:rsidR="00582DD2" w:rsidRPr="005723E9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7646B727" w14:textId="46304A7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1ED5193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585F385C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58D3B6D8" w14:textId="77777777" w:rsidTr="0038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1B472A5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29F1DB3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D433C3D" w14:textId="59B1780C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IGHV6-1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</w:t>
            </w:r>
            <w:r>
              <w:t xml:space="preserve">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IGHV1-58</w:t>
            </w:r>
          </w:p>
        </w:tc>
        <w:tc>
          <w:tcPr>
            <w:tcW w:w="3544" w:type="dxa"/>
            <w:vAlign w:val="center"/>
          </w:tcPr>
          <w:p w14:paraId="676AAC53" w14:textId="061D34BB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immunoglobulin receptor binding activity, to be involved in activation of immune response and  to be part of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complex, circulating.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0261E6E4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0E35A2D" w14:textId="7463FE82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2D071D4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04FC2994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4E4355D9" w14:textId="77777777" w:rsidTr="0038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FC7539C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CDF6A94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3208809D" w14:textId="60219484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IGHV3-13</w:t>
            </w:r>
          </w:p>
        </w:tc>
        <w:tc>
          <w:tcPr>
            <w:tcW w:w="3544" w:type="dxa"/>
            <w:vAlign w:val="center"/>
          </w:tcPr>
          <w:p w14:paraId="0B3AE081" w14:textId="7466859B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5723E9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5723E9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5723E9">
              <w:rPr>
                <w:rFonts w:ascii="Arial" w:hAnsi="Arial" w:cs="Arial"/>
                <w:sz w:val="16"/>
                <w:szCs w:val="16"/>
              </w:rPr>
              <w:t xml:space="preserve"> receptor binding activity and to be involved in activation of immune response</w:t>
            </w:r>
          </w:p>
        </w:tc>
        <w:tc>
          <w:tcPr>
            <w:tcW w:w="1417" w:type="dxa"/>
            <w:vMerge/>
            <w:vAlign w:val="center"/>
          </w:tcPr>
          <w:p w14:paraId="6CC363B1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D46B4C" w14:textId="0AF9D3C0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56250EF6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</w:tcPr>
          <w:p w14:paraId="66BBD0BA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36F9F33C" w14:textId="77777777" w:rsidTr="003805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8413D5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DB5F2A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7FDEB44E" w14:textId="197032B3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IGKV3-20</w:t>
            </w:r>
          </w:p>
        </w:tc>
        <w:tc>
          <w:tcPr>
            <w:tcW w:w="3544" w:type="dxa"/>
            <w:vAlign w:val="center"/>
          </w:tcPr>
          <w:p w14:paraId="1DB823AD" w14:textId="242AF33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Part of monomeric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IgA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immunoglobulin complex; pentameric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IgM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immunoglobulin complex; and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secretory IgA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3C3D69C2" w14:textId="794AD088" w:rsidR="00582DD2" w:rsidRPr="00C45787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7</w:t>
            </w:r>
          </w:p>
        </w:tc>
        <w:tc>
          <w:tcPr>
            <w:tcW w:w="1134" w:type="dxa"/>
            <w:vAlign w:val="center"/>
          </w:tcPr>
          <w:p w14:paraId="1B0EFD0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90D2526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856DA19" w14:textId="2CE2F8B9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E69113F" w14:textId="77777777" w:rsidTr="00380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D47AFB1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122BD1E0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361F372C" w14:textId="34A0458C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IGLV2-5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IGLVI-70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    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IGHV1-17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669460AF" w14:textId="65979D77" w:rsidR="00582DD2" w:rsidRPr="00C45787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>IGLV2-5, IGLVI-70 and IGHV1-17 are pseudogenes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4E014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C93C34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4BB672DF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161C255" w14:textId="6EEB8985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F66309B" w14:textId="77777777" w:rsidTr="00404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C3E87E6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</w:tcPr>
          <w:p w14:paraId="2D0C6BBB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8CE243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AB1147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43ABC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218D0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6510CF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8BF86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EF620C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5F08DED" w14:textId="42C4B23A" w:rsidR="00582DD2" w:rsidRPr="00522F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 transduction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78816AE0" w14:textId="14CDC7D0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SECTM1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7EE12E8" w14:textId="624CF27F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>It is found in a perinuclear Golgi-like pattern and thought to be involved in hematopoietic and/or immune system processes.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Gene Ontology (GO) annotations related to this gene include obsolete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transducer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activity</w:t>
            </w:r>
            <w:r w:rsidRPr="00A873FA">
              <w:rPr>
                <w:rFonts w:ascii="Arial" w:hAnsi="Arial" w:cs="Arial"/>
                <w:sz w:val="16"/>
                <w:szCs w:val="16"/>
              </w:rPr>
              <w:t xml:space="preserve"> and cytokine activity.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35807C1" w14:textId="423A9000" w:rsidR="00582DD2" w:rsidRPr="00C45787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032E36CE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EF93F73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B03E49D" w14:textId="28FBFA75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241D7ED3" w14:textId="77777777" w:rsidTr="00862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E636E6B" w14:textId="38F82FD1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578FDCF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1D686B" w14:textId="4717A8BF" w:rsidR="00582DD2" w:rsidRPr="00903B71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CD300C</w:t>
            </w:r>
          </w:p>
        </w:tc>
        <w:tc>
          <w:tcPr>
            <w:tcW w:w="3544" w:type="dxa"/>
            <w:vAlign w:val="center"/>
          </w:tcPr>
          <w:p w14:paraId="143BA58B" w14:textId="42EB4582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C45787">
              <w:rPr>
                <w:rFonts w:ascii="Arial" w:hAnsi="Arial" w:cs="Arial"/>
                <w:sz w:val="16"/>
                <w:szCs w:val="16"/>
              </w:rPr>
              <w:t xml:space="preserve">The CMRF35 antigen, which was identified by reactivity with a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monoclonal antibody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is present on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monocytes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C45787">
              <w:rPr>
                <w:rFonts w:ascii="Arial" w:hAnsi="Arial" w:cs="Arial"/>
                <w:sz w:val="16"/>
                <w:szCs w:val="16"/>
              </w:rPr>
              <w:t xml:space="preserve">, and some </w:t>
            </w:r>
            <w:r w:rsidRPr="00C45787">
              <w:rPr>
                <w:rFonts w:ascii="Arial" w:hAnsi="Arial" w:cs="Arial"/>
                <w:b/>
                <w:bCs/>
                <w:sz w:val="16"/>
                <w:szCs w:val="16"/>
              </w:rPr>
              <w:t>T and B lymphocytes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 Gene Ontology (GO) annotations related to this gene include transmembrane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signaling receptor activity.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4F4A82B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8856950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126232A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F1FDAE6" w14:textId="755C9AE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AD813E7" w14:textId="77777777" w:rsidTr="00862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A00F0BE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120875B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07F5A234" w14:textId="25E047D2" w:rsidR="00582DD2" w:rsidRPr="00903B71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PRLR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755C46FB" w14:textId="398E331E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7F3E">
              <w:rPr>
                <w:rFonts w:ascii="Arial" w:hAnsi="Arial" w:cs="Arial"/>
                <w:sz w:val="16"/>
                <w:szCs w:val="16"/>
              </w:rPr>
              <w:t>This gene encodes a receptor for the anterior pituitary hormone, prolactin, and belongs to the type I cytokine receptor family.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Among its related pathways are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PI3K-Akt signaling</w:t>
            </w:r>
            <w:r w:rsidRPr="00522F71">
              <w:rPr>
                <w:rFonts w:ascii="Arial" w:hAnsi="Arial" w:cs="Arial"/>
                <w:sz w:val="16"/>
                <w:szCs w:val="16"/>
              </w:rPr>
              <w:t xml:space="preserve"> pathway and </w:t>
            </w:r>
            <w:r w:rsidRPr="00522F71">
              <w:rPr>
                <w:rFonts w:ascii="Arial" w:hAnsi="Arial" w:cs="Arial"/>
                <w:b/>
                <w:bCs/>
                <w:sz w:val="16"/>
                <w:szCs w:val="16"/>
              </w:rPr>
              <w:t>Prolactin Signaling.</w:t>
            </w: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1BFDD2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7CE55E31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065B763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7DD2CB8E" w14:textId="3A89A08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CE30720" w14:textId="77777777" w:rsidTr="00A4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14:paraId="18C81BEB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3ECBED19" w14:textId="77777777" w:rsidR="00582DD2" w:rsidRDefault="00582DD2" w:rsidP="00582DD2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2D9946C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2E86E986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  <w:p w14:paraId="7F3856A7" w14:textId="101FC9A1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  <w:p w14:paraId="403D4089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96FD1C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73703D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D47FC3D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6F6B13B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2548CD4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7BEFF1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AC7DD3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0DA9DF8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C36CBB0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743F97" w14:textId="77777777" w:rsidR="00582DD2" w:rsidRDefault="00582DD2" w:rsidP="00582D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A8E75EF" w14:textId="2953FBC6" w:rsidR="00582DD2" w:rsidRPr="00891650" w:rsidRDefault="00582DD2" w:rsidP="00582DD2">
            <w:pPr>
              <w:jc w:val="left"/>
              <w:rPr>
                <w:rFonts w:ascii="Arial" w:hAnsi="Arial" w:cs="Arial"/>
                <w:b/>
                <w:bCs/>
                <w:i w:val="0"/>
                <w:iCs w:val="0"/>
                <w:sz w:val="20"/>
                <w:szCs w:val="20"/>
              </w:rPr>
            </w:pPr>
          </w:p>
        </w:tc>
        <w:tc>
          <w:tcPr>
            <w:tcW w:w="1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64F2CDC" w14:textId="52C09E22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Response to virus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78E85D" w14:textId="05C6A5A2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IFIT1B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76F59A" w14:textId="2FD6DA75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197F3E">
              <w:rPr>
                <w:rFonts w:ascii="Arial" w:hAnsi="Arial" w:cs="Arial"/>
                <w:sz w:val="16"/>
                <w:szCs w:val="16"/>
              </w:rPr>
              <w:t xml:space="preserve">Predicted to be involved in defense 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response to virus</w:t>
            </w:r>
            <w:r w:rsidRPr="00197F3E">
              <w:rPr>
                <w:rFonts w:ascii="Arial" w:hAnsi="Arial" w:cs="Arial"/>
                <w:sz w:val="16"/>
                <w:szCs w:val="16"/>
              </w:rPr>
              <w:t xml:space="preserve">. Predicted to act upstream of or within cellular response to 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interferon-alpha</w:t>
            </w:r>
            <w:r w:rsidRPr="00197F3E">
              <w:rPr>
                <w:rFonts w:ascii="Arial" w:hAnsi="Arial" w:cs="Arial"/>
                <w:sz w:val="16"/>
                <w:szCs w:val="16"/>
              </w:rPr>
              <w:t xml:space="preserve"> and i</w:t>
            </w:r>
            <w:r w:rsidRPr="00197F3E">
              <w:rPr>
                <w:rFonts w:ascii="Arial" w:hAnsi="Arial" w:cs="Arial"/>
                <w:b/>
                <w:bCs/>
                <w:sz w:val="16"/>
                <w:szCs w:val="16"/>
              </w:rPr>
              <w:t>nterferon-beta.</w:t>
            </w:r>
          </w:p>
        </w:tc>
        <w:tc>
          <w:tcPr>
            <w:tcW w:w="1417" w:type="dxa"/>
            <w:vMerge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B8E92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5D065" w14:textId="5FDA0D7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46A867E4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A66E52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32D226DD" w14:textId="77777777" w:rsidTr="00A46C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C95071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tcBorders>
              <w:top w:val="nil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C3E5E4B" w14:textId="3D4DCD4B" w:rsidR="00582DD2" w:rsidRPr="00E01510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Inflammatory, TLR and chemokines</w:t>
            </w: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vAlign w:val="center"/>
          </w:tcPr>
          <w:p w14:paraId="4FB421A9" w14:textId="78A6B01D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ORM1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vAlign w:val="center"/>
          </w:tcPr>
          <w:p w14:paraId="4C7C35FF" w14:textId="08B990D3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encodes a key acute phase plasma protein. Because of its increase due to acute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inflammation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, this protein is classified as an acute-phase reactant. The specific function of this protein may be involved in aspects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immunosuppression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4305D2A" w14:textId="7EF1C994" w:rsidR="00582DD2" w:rsidRPr="00E01510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7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72F2D1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14:paraId="7ADA1E9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CD5029E" w14:textId="1CCF2329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57AA401E" w14:textId="77777777" w:rsidTr="00A46C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329C05B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C53542" w14:textId="0CBAADB4" w:rsidR="00582DD2" w:rsidRPr="00E01510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F98E26B" w14:textId="728F7A53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SEPTIN4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1732FA9D" w14:textId="6C9C4437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is a member of the septin family of nucleotide binding proteins, and has a role in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9C5276A" w14:textId="7316EAAB" w:rsidR="00582DD2" w:rsidRPr="00E01510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3B85C0D6" w14:textId="5135907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543957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5CCA4AF3" w14:textId="069B383C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58CEA4C" w14:textId="77777777" w:rsidTr="0069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396A91B2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864287D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572208C" w14:textId="7ADC02C9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TNFSF15</w:t>
            </w:r>
          </w:p>
        </w:tc>
        <w:tc>
          <w:tcPr>
            <w:tcW w:w="3544" w:type="dxa"/>
            <w:vAlign w:val="center"/>
          </w:tcPr>
          <w:p w14:paraId="46576C3B" w14:textId="2CB81629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The protein encoded by this gene is a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cytokine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 that belongs to the tumor necrosis factor (TNF) ligand family. It can activate NF-kappaB and MAP kinases, and acts as an autocrine factor to induce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 in endothelial cells.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22DFF751" w14:textId="4675F58C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51F96C7" w14:textId="21C6108F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7E7F42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8F8924" w14:textId="381FAF01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C6FF904" w14:textId="77777777" w:rsidTr="00693D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0A050C47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7EB4A8C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single" w:sz="12" w:space="0" w:color="auto"/>
            </w:tcBorders>
            <w:vAlign w:val="center"/>
          </w:tcPr>
          <w:p w14:paraId="73BBC1D7" w14:textId="52FBC51E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IL24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vAlign w:val="center"/>
          </w:tcPr>
          <w:p w14:paraId="05085683" w14:textId="1FC5F0DC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IL10 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family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cytokines</w:t>
            </w:r>
            <w:r w:rsidRPr="00E01510">
              <w:rPr>
                <w:rFonts w:ascii="Arial" w:hAnsi="Arial" w:cs="Arial"/>
                <w:sz w:val="16"/>
                <w:szCs w:val="16"/>
              </w:rPr>
              <w:t xml:space="preserve">. Overexpression of this gene leads to elevated expression of several GADD family genes, which correlates with the induction of </w:t>
            </w: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apoptosis</w:t>
            </w:r>
            <w:r w:rsidRPr="00E0151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BEB8761" w14:textId="07B5DD0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01510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vAlign w:val="center"/>
          </w:tcPr>
          <w:p w14:paraId="05B55907" w14:textId="66EDE6E1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9250B48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bottom w:val="single" w:sz="12" w:space="0" w:color="auto"/>
            </w:tcBorders>
            <w:vAlign w:val="center"/>
          </w:tcPr>
          <w:p w14:paraId="3D2E834D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040C20D5" w14:textId="77777777" w:rsidTr="0069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</w:tcPr>
          <w:p w14:paraId="5F09EFCA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29C69645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378E0A25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AB548F9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714AEA79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6C3E936F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349414A8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F97707A" w14:textId="77777777" w:rsidR="00582DD2" w:rsidRDefault="00582DD2" w:rsidP="00582DD2">
            <w:pPr>
              <w:jc w:val="center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2EB0D257" w14:textId="44E905B8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</w:tc>
        <w:tc>
          <w:tcPr>
            <w:tcW w:w="169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0821CCF" w14:textId="7A8E58A9" w:rsidR="00582DD2" w:rsidRPr="00BF0DD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Macrophages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A981CCC" w14:textId="6A464105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IFI35</w:t>
            </w:r>
          </w:p>
        </w:tc>
        <w:tc>
          <w:tcPr>
            <w:tcW w:w="3544" w:type="dxa"/>
            <w:tcBorders>
              <w:top w:val="single" w:sz="12" w:space="0" w:color="auto"/>
            </w:tcBorders>
            <w:vAlign w:val="center"/>
          </w:tcPr>
          <w:p w14:paraId="289591A8" w14:textId="308CDD09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Enables identical protein binding activity. Involved in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 activation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involved in immune response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D01A1D1" w14:textId="66AAAF85" w:rsidR="00582DD2" w:rsidRPr="00BF0DD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12A982DB" w14:textId="28CC96C4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0C0DBA51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single" w:sz="12" w:space="0" w:color="auto"/>
            </w:tcBorders>
            <w:vAlign w:val="center"/>
          </w:tcPr>
          <w:p w14:paraId="05B17618" w14:textId="4BC0AC7A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3B17668" w14:textId="77777777" w:rsidTr="0089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544200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1B74E3CD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E53F53A" w14:textId="560C2FCB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SIGLEC12</w:t>
            </w:r>
          </w:p>
        </w:tc>
        <w:tc>
          <w:tcPr>
            <w:tcW w:w="3544" w:type="dxa"/>
            <w:vAlign w:val="center"/>
          </w:tcPr>
          <w:p w14:paraId="25F3B665" w14:textId="02E92CDB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Sialic acid-binding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-like lectins (SIGLECs) are a family of cell surface proteins belonging to the immunoglobulin superfamily. It has been suggested that the protein is involved in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negative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regulation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macrophage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signaling by functioning as an inhibitory receptor.</w:t>
            </w:r>
          </w:p>
        </w:tc>
        <w:tc>
          <w:tcPr>
            <w:tcW w:w="1417" w:type="dxa"/>
            <w:vMerge/>
            <w:vAlign w:val="center"/>
          </w:tcPr>
          <w:p w14:paraId="11A91224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1E29B391" w14:textId="466A8AED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0DA75E7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7E9E98D" w14:textId="006076E0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E32E42A" w14:textId="77777777" w:rsidTr="0089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4A181F64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1A790E3B" w14:textId="772229CB" w:rsidR="00582DD2" w:rsidRPr="00BF0DD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</w:p>
        </w:tc>
        <w:tc>
          <w:tcPr>
            <w:tcW w:w="1417" w:type="dxa"/>
            <w:vAlign w:val="center"/>
          </w:tcPr>
          <w:p w14:paraId="3123AB2D" w14:textId="1699604A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DEFA4</w:t>
            </w:r>
          </w:p>
        </w:tc>
        <w:tc>
          <w:tcPr>
            <w:tcW w:w="3544" w:type="dxa"/>
            <w:vAlign w:val="center"/>
          </w:tcPr>
          <w:p w14:paraId="406AAA99" w14:textId="3215675A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Defensins are a family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antimicrobial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and cytotoxic peptides thought to be involved in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host defense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. They are abundant in the granules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neutrophils</w:t>
            </w:r>
            <w:r w:rsidRPr="00BF0DD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4C9E647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Overexpressed on day </w:t>
            </w:r>
            <w:proofErr w:type="gram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  <w:proofErr w:type="gramEnd"/>
          </w:p>
          <w:p w14:paraId="571F93D6" w14:textId="5C72170D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717753ED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9DBAD7A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4B9AD6E5" w14:textId="7A2AC341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2D8A851" w14:textId="77777777" w:rsidTr="0089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60E11C2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shd w:val="clear" w:color="auto" w:fill="F2F2F2" w:themeFill="background1" w:themeFillShade="F2"/>
            <w:vAlign w:val="center"/>
          </w:tcPr>
          <w:p w14:paraId="370233F3" w14:textId="7FBBDA0D" w:rsidR="00582DD2" w:rsidRPr="00BF0DD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Major histocompatibility complex</w:t>
            </w:r>
          </w:p>
        </w:tc>
        <w:tc>
          <w:tcPr>
            <w:tcW w:w="1417" w:type="dxa"/>
            <w:vAlign w:val="center"/>
          </w:tcPr>
          <w:p w14:paraId="6A8FD00F" w14:textId="64A933FC" w:rsidR="00582DD2" w:rsidRPr="00BF0DD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CD1E</w:t>
            </w:r>
          </w:p>
        </w:tc>
        <w:tc>
          <w:tcPr>
            <w:tcW w:w="3544" w:type="dxa"/>
            <w:vAlign w:val="center"/>
          </w:tcPr>
          <w:p w14:paraId="2A2DC709" w14:textId="4A3C2FC6" w:rsidR="00582DD2" w:rsidRPr="00BF0DD8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This gene encodes a member of the CD1 family of transmembrane glycoproteins, which are structurally related to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major histocompatibility complex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(MHC) proteins and form heterodimers with beta-2-microglobulin. The CD1 proteins mediate the presentation of primarily lipid and glycolipid antigens of self or microbial origin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to T cells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. </w:t>
            </w:r>
          </w:p>
        </w:tc>
        <w:tc>
          <w:tcPr>
            <w:tcW w:w="1417" w:type="dxa"/>
            <w:vMerge/>
            <w:shd w:val="clear" w:color="auto" w:fill="F2F2F2" w:themeFill="background1" w:themeFillShade="F2"/>
            <w:vAlign w:val="center"/>
          </w:tcPr>
          <w:p w14:paraId="39397A37" w14:textId="25FF78CC" w:rsidR="00582DD2" w:rsidRPr="00BF0DD8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D125091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72A9BA8A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46647AD" w14:textId="149614FD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7AE7533" w14:textId="77777777" w:rsidTr="0069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167D1FC" w14:textId="77777777" w:rsidR="00582DD2" w:rsidRPr="00BF0DD8" w:rsidRDefault="00582DD2" w:rsidP="00582DD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91" w:type="dxa"/>
            <w:vMerge w:val="restart"/>
            <w:shd w:val="clear" w:color="auto" w:fill="F2F2F2" w:themeFill="background1" w:themeFillShade="F2"/>
            <w:vAlign w:val="center"/>
          </w:tcPr>
          <w:p w14:paraId="535192F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9FCA2F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B430D9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B4807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69E0D1E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96523C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2F219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9FC9E2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30AE1D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F7713E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F5214D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79F7A8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A07802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BD3400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2B30E7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EB7572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710DA8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8C327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12F0D9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DC9BB3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5D5A84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E5954F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18EE55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B2CE965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4B3256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0BD2A28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B58708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5BACBB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BFCDD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3E2DE53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58BB1C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B58C43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3EA2B0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2662A7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C80D9E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6EF8944" w14:textId="63A35856" w:rsidR="00582DD2" w:rsidRPr="00BF0DD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B cell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1417" w:type="dxa"/>
            <w:vAlign w:val="center"/>
          </w:tcPr>
          <w:p w14:paraId="7E71AB93" w14:textId="30DAF527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FCGR2B</w:t>
            </w:r>
          </w:p>
        </w:tc>
        <w:tc>
          <w:tcPr>
            <w:tcW w:w="3544" w:type="dxa"/>
            <w:vAlign w:val="center"/>
          </w:tcPr>
          <w:p w14:paraId="69D0173E" w14:textId="0F678267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F0DD8">
              <w:rPr>
                <w:rFonts w:ascii="Arial" w:hAnsi="Arial" w:cs="Arial"/>
                <w:sz w:val="16"/>
                <w:szCs w:val="16"/>
              </w:rPr>
              <w:t xml:space="preserve">The protein encoded by this gene is a low affinity receptor for the Fc region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gamma complexes. The encoded protein is involved in the phagocytosis of immune complexes and in the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regulation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antibody production</w:t>
            </w:r>
            <w:r w:rsidRPr="00BF0DD8">
              <w:rPr>
                <w:rFonts w:ascii="Arial" w:hAnsi="Arial" w:cs="Arial"/>
                <w:sz w:val="16"/>
                <w:szCs w:val="16"/>
              </w:rPr>
              <w:t xml:space="preserve"> by </w:t>
            </w: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B-cells.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AAC4BF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F1894A4" w14:textId="3552AC5A" w:rsidR="00582DD2" w:rsidRPr="00BF0DD8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F0DD8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1</w:t>
            </w:r>
          </w:p>
        </w:tc>
        <w:tc>
          <w:tcPr>
            <w:tcW w:w="1134" w:type="dxa"/>
            <w:vAlign w:val="center"/>
          </w:tcPr>
          <w:p w14:paraId="0897BD75" w14:textId="77777777" w:rsidR="00582DD2" w:rsidRDefault="00582DD2" w:rsidP="00582D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1D0B3FBB" w14:textId="5B2C23F1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089B092D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070E633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5398AEFE" w14:textId="21A6C3A0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1B4467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D2B80B2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  <w:p w14:paraId="237E19BF" w14:textId="78F4E8E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27BCEE8" w14:textId="77777777" w:rsidTr="0089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6B5A8D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  <w:vAlign w:val="center"/>
          </w:tcPr>
          <w:p w14:paraId="321B7AE7" w14:textId="4BCB3E24" w:rsidR="00582DD2" w:rsidRPr="00E359BA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6346C350" w14:textId="53A6A548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SIGLEC8</w:t>
            </w:r>
          </w:p>
        </w:tc>
        <w:tc>
          <w:tcPr>
            <w:tcW w:w="3544" w:type="dxa"/>
            <w:vAlign w:val="center"/>
          </w:tcPr>
          <w:p w14:paraId="2CBFB446" w14:textId="5DF19AF6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359BA">
              <w:rPr>
                <w:rFonts w:ascii="Arial" w:hAnsi="Arial" w:cs="Arial"/>
                <w:sz w:val="16"/>
                <w:szCs w:val="16"/>
              </w:rPr>
              <w:t xml:space="preserve">Sialic acid-binding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(Ig)-like lectins, or SIGLECs are a family of type 1 transmembrane proteins in hemopoietic cells. SIGLEC8 have 2 conserved motifs: an immunoreceptor tyrosine-based inhibitory motif and a motif homologous to one identified in signaling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lymphocyte activation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molecule</w:t>
            </w:r>
          </w:p>
        </w:tc>
        <w:tc>
          <w:tcPr>
            <w:tcW w:w="1417" w:type="dxa"/>
            <w:vMerge w:val="restart"/>
            <w:shd w:val="clear" w:color="auto" w:fill="F2F2F2" w:themeFill="background1" w:themeFillShade="F2"/>
            <w:vAlign w:val="center"/>
          </w:tcPr>
          <w:p w14:paraId="51739D99" w14:textId="04DCFF3E" w:rsidR="00582DD2" w:rsidRPr="00E359BA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5B71CAF3" w14:textId="43B2F4E8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783BA59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390BBA7" w14:textId="436A475E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0D1ECD33" w14:textId="77777777" w:rsidTr="0069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  <w:vAlign w:val="center"/>
          </w:tcPr>
          <w:p w14:paraId="12BD80F0" w14:textId="08C32C3A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91650">
              <w:rPr>
                <w:rFonts w:ascii="Arial" w:hAnsi="Arial" w:cs="Arial"/>
                <w:b/>
                <w:bCs/>
                <w:sz w:val="20"/>
                <w:szCs w:val="20"/>
              </w:rPr>
              <w:t>IVERMECTIN GROUP</w:t>
            </w: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0B0824F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27F1742" w14:textId="453597BE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IGLV4-69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IGLV4-60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IGLV3-9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IGLV4-3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IGKV1-6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IGKV1-9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Merge w:val="restart"/>
            <w:vAlign w:val="center"/>
          </w:tcPr>
          <w:p w14:paraId="70AC1EA8" w14:textId="34EC98C0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E359BA">
              <w:rPr>
                <w:rFonts w:ascii="Arial" w:hAnsi="Arial" w:cs="Arial"/>
                <w:sz w:val="16"/>
                <w:szCs w:val="16"/>
              </w:rPr>
              <w:t xml:space="preserve">Predicted to be involved in immune response and to be part of </w:t>
            </w:r>
            <w:r w:rsidRPr="00E359BA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E359BA">
              <w:rPr>
                <w:rFonts w:ascii="Arial" w:hAnsi="Arial" w:cs="Arial"/>
                <w:sz w:val="16"/>
                <w:szCs w:val="16"/>
              </w:rPr>
              <w:t xml:space="preserve"> complex.</w:t>
            </w:r>
          </w:p>
        </w:tc>
        <w:tc>
          <w:tcPr>
            <w:tcW w:w="1417" w:type="dxa"/>
            <w:vMerge/>
            <w:vAlign w:val="center"/>
          </w:tcPr>
          <w:p w14:paraId="16211183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0DA99972" w14:textId="44CF9AC1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E706F80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A72471B" w14:textId="6B70A4EB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754E3A13" w14:textId="77777777" w:rsidTr="0089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71B2D0B3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73FD658D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B2DBC3F" w14:textId="6BABEF8F" w:rsidR="00582DD2" w:rsidRPr="000769A3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IGLV7-46,</w:t>
            </w:r>
            <w:r w:rsidRPr="000769A3">
              <w:t xml:space="preserve">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IGLV1-44,  IGLV7-43, IGLV2-33, IGLV2-11,</w:t>
            </w:r>
            <w:r>
              <w:t xml:space="preserve">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IGLV9-49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IGKV3D-15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IGKV3-7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IGKV2-29</w:t>
            </w:r>
          </w:p>
        </w:tc>
        <w:tc>
          <w:tcPr>
            <w:tcW w:w="3544" w:type="dxa"/>
            <w:vMerge/>
            <w:vAlign w:val="center"/>
          </w:tcPr>
          <w:p w14:paraId="049B97A1" w14:textId="77777777" w:rsidR="00582DD2" w:rsidRPr="000769A3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6014ADB0" w14:textId="2463B9E1" w:rsidR="00582DD2" w:rsidRPr="000769A3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14582D9B" w14:textId="20DEA96F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5DA3FAB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0C94AFA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0A2DF4C9" w14:textId="77777777" w:rsidTr="008916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5516E269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69F8CB8E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08A5F8A1" w14:textId="587CFC46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IGLV2-23</w:t>
            </w:r>
          </w:p>
        </w:tc>
        <w:tc>
          <w:tcPr>
            <w:tcW w:w="3544" w:type="dxa"/>
            <w:vMerge/>
            <w:vAlign w:val="center"/>
          </w:tcPr>
          <w:p w14:paraId="623FFD7F" w14:textId="77777777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4BECD624" w14:textId="29AACFAC" w:rsidR="00582DD2" w:rsidRPr="000769A3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7</w:t>
            </w:r>
          </w:p>
        </w:tc>
        <w:tc>
          <w:tcPr>
            <w:tcW w:w="1134" w:type="dxa"/>
            <w:vAlign w:val="center"/>
          </w:tcPr>
          <w:p w14:paraId="57DFF73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1C1ED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FD930B2" w14:textId="30F0343F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6CC43AEE" w14:textId="77777777" w:rsidTr="008916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20146783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49D3D1AC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E1F9F74" w14:textId="0D257E82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IGHV4-59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IGHV3-72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IGHV3-73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IGHV7-81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IGHV3OR16-17</w:t>
            </w:r>
          </w:p>
        </w:tc>
        <w:tc>
          <w:tcPr>
            <w:tcW w:w="3544" w:type="dxa"/>
            <w:vMerge w:val="restart"/>
            <w:vAlign w:val="center"/>
          </w:tcPr>
          <w:p w14:paraId="7E351B86" w14:textId="332E96BB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0769A3">
              <w:rPr>
                <w:rFonts w:ascii="Arial" w:hAnsi="Arial" w:cs="Arial"/>
                <w:sz w:val="16"/>
                <w:szCs w:val="16"/>
              </w:rPr>
              <w:t xml:space="preserve">Predicted to enable antigen binding activity and </w:t>
            </w: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0769A3">
              <w:rPr>
                <w:rFonts w:ascii="Arial" w:hAnsi="Arial" w:cs="Arial"/>
                <w:sz w:val="16"/>
                <w:szCs w:val="16"/>
              </w:rPr>
              <w:t xml:space="preserve"> receptor binding activity, to be involved in activation of immune response and to be part of immunoglobulin complex, circulating.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566DE395" w14:textId="42CB7C30" w:rsidR="00582DD2" w:rsidRPr="000769A3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69A3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50C0A75D" w14:textId="1D594CAC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09E18BA1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CB66818" w14:textId="05DF2C25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11737FCE" w14:textId="77777777" w:rsidTr="00693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3F15B0F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3E332BAE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C1F8947" w14:textId="0EE79198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IGLC7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IGHG2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,</w:t>
            </w:r>
            <w:r>
              <w:t xml:space="preserve">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IGHV1-18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IGHV3-38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IGHV4-39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IGHV3-66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IGHV1-69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IGHV3OR15-7</w:t>
            </w:r>
          </w:p>
        </w:tc>
        <w:tc>
          <w:tcPr>
            <w:tcW w:w="3544" w:type="dxa"/>
            <w:vMerge/>
            <w:vAlign w:val="center"/>
          </w:tcPr>
          <w:p w14:paraId="70E2452D" w14:textId="77777777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384CE21" w14:textId="1595B84C" w:rsidR="00582DD2" w:rsidRPr="00377FC4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08E4885B" w14:textId="12D96DAB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24FBFA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08787D81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09ECF436" w14:textId="77777777" w:rsidTr="0043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top w:val="single" w:sz="4" w:space="0" w:color="FFFFFF" w:themeColor="background1"/>
              <w:left w:val="single" w:sz="4" w:space="0" w:color="808080" w:themeColor="background1" w:themeShade="80"/>
              <w:bottom w:val="single" w:sz="4" w:space="0" w:color="FFFFFF" w:themeColor="background1"/>
            </w:tcBorders>
            <w:vAlign w:val="center"/>
          </w:tcPr>
          <w:p w14:paraId="16FAAF52" w14:textId="77777777" w:rsidR="00582DD2" w:rsidRPr="00F57B46" w:rsidRDefault="00582DD2" w:rsidP="00582DD2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shd w:val="clear" w:color="auto" w:fill="F2F2F2" w:themeFill="background1" w:themeFillShade="F2"/>
          </w:tcPr>
          <w:p w14:paraId="2A249A15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937E16F" w14:textId="7D140023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IGHV3-47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IGLV2-34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IGLV2-5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IGKV2OR22-4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46408">
              <w:rPr>
                <w:rFonts w:ascii="Arial" w:hAnsi="Arial" w:cs="Arial"/>
                <w:b/>
                <w:bCs/>
                <w:sz w:val="16"/>
                <w:szCs w:val="16"/>
              </w:rPr>
              <w:t>IGHV3-63</w:t>
            </w:r>
          </w:p>
        </w:tc>
        <w:tc>
          <w:tcPr>
            <w:tcW w:w="3544" w:type="dxa"/>
            <w:vMerge w:val="restart"/>
            <w:vAlign w:val="center"/>
          </w:tcPr>
          <w:p w14:paraId="4FD035F1" w14:textId="5C720251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46408">
              <w:rPr>
                <w:rFonts w:ascii="Arial" w:hAnsi="Arial" w:cs="Arial"/>
                <w:sz w:val="16"/>
                <w:szCs w:val="16"/>
              </w:rPr>
              <w:t>IGHV3-47, IGLV2-34, IGLV2-5, IGKV2OR22-4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46408">
              <w:rPr>
                <w:rFonts w:ascii="Arial" w:hAnsi="Arial" w:cs="Arial"/>
                <w:sz w:val="16"/>
                <w:szCs w:val="16"/>
              </w:rPr>
              <w:t>IGHV3-63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sz w:val="16"/>
                <w:szCs w:val="16"/>
              </w:rPr>
              <w:t>IGHV3-62, IGHV3-65, IGKV2-4, IGLV2-28, IGHV3-6, IGLV1-41, IGHV3-19, IGHV3-63 and IGKV2-26</w:t>
            </w:r>
            <w:r>
              <w:rPr>
                <w:rFonts w:ascii="Arial" w:hAnsi="Arial" w:cs="Arial"/>
                <w:sz w:val="16"/>
                <w:szCs w:val="16"/>
              </w:rPr>
              <w:t xml:space="preserve"> are pseudogenes</w:t>
            </w:r>
          </w:p>
        </w:tc>
        <w:tc>
          <w:tcPr>
            <w:tcW w:w="1417" w:type="dxa"/>
            <w:tcBorders>
              <w:bottom w:val="single" w:sz="4" w:space="0" w:color="666666" w:themeColor="text1" w:themeTint="99"/>
            </w:tcBorders>
            <w:shd w:val="clear" w:color="auto" w:fill="F2F2F2" w:themeFill="background1" w:themeFillShade="F2"/>
            <w:vAlign w:val="center"/>
          </w:tcPr>
          <w:p w14:paraId="01B2377F" w14:textId="119E8A54" w:rsidR="00582DD2" w:rsidRPr="00377FC4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 and 7</w:t>
            </w:r>
          </w:p>
        </w:tc>
        <w:tc>
          <w:tcPr>
            <w:tcW w:w="1134" w:type="dxa"/>
            <w:vAlign w:val="center"/>
          </w:tcPr>
          <w:p w14:paraId="2D07A78E" w14:textId="0A2D6554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19B3B0B5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1D8ECA20" w14:textId="0A94EC75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</w:tr>
      <w:tr w:rsidR="00582DD2" w:rsidRPr="00F57B46" w14:paraId="3D2D71D7" w14:textId="77777777" w:rsidTr="0043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tcBorders>
              <w:left w:val="single" w:sz="4" w:space="0" w:color="808080" w:themeColor="background1" w:themeShade="80"/>
            </w:tcBorders>
            <w:vAlign w:val="center"/>
          </w:tcPr>
          <w:p w14:paraId="7EBF7972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28230AB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E62B23F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462E4BE0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A527FC0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78AA4071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12AAC167" w14:textId="77777777" w:rsidR="00582DD2" w:rsidRDefault="00582DD2" w:rsidP="00582DD2">
            <w:pPr>
              <w:jc w:val="left"/>
              <w:rPr>
                <w:rFonts w:ascii="Arial" w:hAnsi="Arial" w:cs="Arial"/>
                <w:i w:val="0"/>
                <w:iCs w:val="0"/>
                <w:sz w:val="16"/>
                <w:szCs w:val="16"/>
              </w:rPr>
            </w:pPr>
          </w:p>
          <w:p w14:paraId="5562A454" w14:textId="77777777" w:rsidR="00582DD2" w:rsidRPr="00CF0AAB" w:rsidRDefault="00582DD2" w:rsidP="00582DD2">
            <w:pPr>
              <w:jc w:val="lef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80507E9" w14:textId="0F9B5E3C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F0AAB">
              <w:rPr>
                <w:rFonts w:ascii="Arial" w:hAnsi="Arial" w:cs="Arial"/>
                <w:b/>
                <w:bCs/>
                <w:i w:val="0"/>
                <w:iCs w:val="0"/>
                <w:sz w:val="16"/>
                <w:szCs w:val="16"/>
              </w:rPr>
              <w:t>IVERMECTIN GROUP</w:t>
            </w: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640D4418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</w:tcBorders>
            <w:vAlign w:val="center"/>
          </w:tcPr>
          <w:p w14:paraId="6BFA2D60" w14:textId="7F3DD98F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IGHV3-62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IGLV2-28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IGLV1-41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IGHV3-19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IGHV3-63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IGKV2-26</w:t>
            </w:r>
          </w:p>
        </w:tc>
        <w:tc>
          <w:tcPr>
            <w:tcW w:w="3544" w:type="dxa"/>
            <w:vMerge/>
            <w:vAlign w:val="center"/>
          </w:tcPr>
          <w:p w14:paraId="77ABA1D9" w14:textId="77777777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46A49C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259AA2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33F62B30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64822A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F9B6344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00371FC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B3571EA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E6D0A48" w14:textId="2F38A598" w:rsidR="00582DD2" w:rsidRPr="00377FC4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Overexpressed on day 4</w:t>
            </w:r>
          </w:p>
        </w:tc>
        <w:tc>
          <w:tcPr>
            <w:tcW w:w="1134" w:type="dxa"/>
            <w:vAlign w:val="center"/>
          </w:tcPr>
          <w:p w14:paraId="083016CB" w14:textId="12D04238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37E72AC9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3A612DF9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79837629" w14:textId="77777777" w:rsidTr="0043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 w:val="restart"/>
            <w:tcBorders>
              <w:top w:val="single" w:sz="4" w:space="0" w:color="FFFFFF" w:themeColor="background1"/>
              <w:left w:val="single" w:sz="4" w:space="0" w:color="808080" w:themeColor="background1" w:themeShade="80"/>
            </w:tcBorders>
            <w:vAlign w:val="center"/>
          </w:tcPr>
          <w:p w14:paraId="13750A6B" w14:textId="67FD8DB4" w:rsidR="00582DD2" w:rsidRPr="00F57B46" w:rsidRDefault="00582DD2" w:rsidP="00582DD2">
            <w:pPr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0C1D5F06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D32CD7" w14:textId="19DC8697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IGSF1</w:t>
            </w:r>
          </w:p>
        </w:tc>
        <w:tc>
          <w:tcPr>
            <w:tcW w:w="3544" w:type="dxa"/>
            <w:vAlign w:val="center"/>
          </w:tcPr>
          <w:p w14:paraId="096C0EC6" w14:textId="494EC95B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 xml:space="preserve">This gene encodes a member of the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immunoglobulin</w:t>
            </w:r>
            <w:r w:rsidRPr="00377FC4">
              <w:rPr>
                <w:rFonts w:ascii="Arial" w:hAnsi="Arial" w:cs="Arial"/>
                <w:sz w:val="16"/>
                <w:szCs w:val="16"/>
              </w:rPr>
              <w:t>-like domain-containing superfamily.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117F6D2B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08BB6AD" w14:textId="6E8F8438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6AEC038E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7B515053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4A556E4A" w14:textId="77777777" w:rsidTr="00431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</w:tcBorders>
            <w:vAlign w:val="center"/>
          </w:tcPr>
          <w:p w14:paraId="0FDA252A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3ED0732E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5DDF8B05" w14:textId="7AD175A6" w:rsidR="00582DD2" w:rsidRPr="00197F3E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IGLV3-21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IGLV2-14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IGKV1-17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,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IGKV2-</w:t>
            </w:r>
            <w:proofErr w:type="gramStart"/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30</w:t>
            </w:r>
            <w:proofErr w:type="gramEnd"/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and </w:t>
            </w: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IGKV3-15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44" w:type="dxa"/>
            <w:vAlign w:val="center"/>
          </w:tcPr>
          <w:p w14:paraId="63E51A74" w14:textId="483EC0B5" w:rsidR="00582DD2" w:rsidRPr="00197F3E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>Predicted to be involved in immune response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6734B399" w14:textId="77777777" w:rsidR="00582DD2" w:rsidRPr="00F57B46" w:rsidRDefault="00582DD2" w:rsidP="00582D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6BDADE27" w14:textId="2A73AB22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46897BBF" w14:textId="77777777" w:rsidR="00582DD2" w:rsidRPr="00F57B46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235D38B6" w14:textId="77777777" w:rsidR="00582DD2" w:rsidRDefault="00582DD2" w:rsidP="00582D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82DD2" w:rsidRPr="00F57B46" w14:paraId="72CBCF3C" w14:textId="77777777" w:rsidTr="00431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3848EAF" w14:textId="77777777" w:rsidR="00582DD2" w:rsidRPr="00F57B46" w:rsidRDefault="00582DD2" w:rsidP="00582DD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91" w:type="dxa"/>
            <w:vMerge/>
            <w:tcBorders>
              <w:top w:val="nil"/>
            </w:tcBorders>
            <w:shd w:val="clear" w:color="auto" w:fill="F2F2F2" w:themeFill="background1" w:themeFillShade="F2"/>
          </w:tcPr>
          <w:p w14:paraId="0F62769D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7" w:type="dxa"/>
            <w:vAlign w:val="center"/>
          </w:tcPr>
          <w:p w14:paraId="4F6D30DD" w14:textId="314EF83A" w:rsidR="00582DD2" w:rsidRPr="00197F3E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77FC4">
              <w:rPr>
                <w:rFonts w:ascii="Arial" w:hAnsi="Arial" w:cs="Arial"/>
                <w:b/>
                <w:bCs/>
                <w:sz w:val="16"/>
                <w:szCs w:val="16"/>
              </w:rPr>
              <w:t>IGHV3-23</w:t>
            </w:r>
          </w:p>
        </w:tc>
        <w:tc>
          <w:tcPr>
            <w:tcW w:w="3544" w:type="dxa"/>
            <w:vAlign w:val="center"/>
          </w:tcPr>
          <w:p w14:paraId="2AF8613B" w14:textId="62DBCE6E" w:rsidR="00582DD2" w:rsidRPr="00197F3E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377FC4">
              <w:rPr>
                <w:rFonts w:ascii="Arial" w:hAnsi="Arial" w:cs="Arial"/>
                <w:sz w:val="16"/>
                <w:szCs w:val="16"/>
              </w:rPr>
              <w:t>IGHV3-23 is related to immune response Fc epsilon RI pathway and Immune response NFAT in immune response. immunoglobulin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15B6F133" w14:textId="77777777" w:rsidR="00582DD2" w:rsidRPr="00F57B46" w:rsidRDefault="00582DD2" w:rsidP="00582D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64FE00F" w14:textId="3D95A6CE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134" w:type="dxa"/>
          </w:tcPr>
          <w:p w14:paraId="61537192" w14:textId="77777777" w:rsidR="00582DD2" w:rsidRPr="00F57B46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73" w:type="dxa"/>
            <w:vAlign w:val="center"/>
          </w:tcPr>
          <w:p w14:paraId="5938CAE0" w14:textId="77777777" w:rsidR="00582DD2" w:rsidRDefault="00582DD2" w:rsidP="00582D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37DF47F1" w14:textId="77777777" w:rsidR="00693D82" w:rsidRDefault="00693D82">
      <w:pPr>
        <w:rPr>
          <w:rFonts w:ascii="Arial" w:hAnsi="Arial" w:cs="Arial"/>
          <w:sz w:val="16"/>
          <w:szCs w:val="16"/>
        </w:rPr>
      </w:pPr>
    </w:p>
    <w:p w14:paraId="0AD80762" w14:textId="64B96833" w:rsidR="00A46C4E" w:rsidRDefault="00A46C4E">
      <w:pPr>
        <w:rPr>
          <w:rFonts w:ascii="Arial" w:hAnsi="Arial" w:cs="Arial"/>
          <w:sz w:val="16"/>
          <w:szCs w:val="16"/>
        </w:rPr>
      </w:pPr>
    </w:p>
    <w:p w14:paraId="127D7DBD" w14:textId="6C90D213" w:rsidR="00FA20BB" w:rsidRPr="00F57B46" w:rsidRDefault="00FA20BB">
      <w:pPr>
        <w:rPr>
          <w:rFonts w:ascii="Arial" w:hAnsi="Arial" w:cs="Arial"/>
          <w:sz w:val="16"/>
          <w:szCs w:val="16"/>
        </w:rPr>
      </w:pPr>
    </w:p>
    <w:sectPr w:rsidR="00FA20BB" w:rsidRPr="00F57B46" w:rsidSect="00F57B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92"/>
    <w:rsid w:val="000371BC"/>
    <w:rsid w:val="000665E3"/>
    <w:rsid w:val="000769A3"/>
    <w:rsid w:val="000E40E8"/>
    <w:rsid w:val="000E633B"/>
    <w:rsid w:val="00195040"/>
    <w:rsid w:val="00197F3E"/>
    <w:rsid w:val="001C1211"/>
    <w:rsid w:val="001F5C38"/>
    <w:rsid w:val="002135ED"/>
    <w:rsid w:val="002323C6"/>
    <w:rsid w:val="00262F76"/>
    <w:rsid w:val="00272FC2"/>
    <w:rsid w:val="00290DDA"/>
    <w:rsid w:val="002B7FAA"/>
    <w:rsid w:val="002F2C9F"/>
    <w:rsid w:val="002F7D75"/>
    <w:rsid w:val="00313547"/>
    <w:rsid w:val="00336344"/>
    <w:rsid w:val="00346408"/>
    <w:rsid w:val="003608EC"/>
    <w:rsid w:val="00377389"/>
    <w:rsid w:val="00377FC4"/>
    <w:rsid w:val="003805BB"/>
    <w:rsid w:val="00382433"/>
    <w:rsid w:val="00396CBE"/>
    <w:rsid w:val="003B6A81"/>
    <w:rsid w:val="003C0062"/>
    <w:rsid w:val="003F2327"/>
    <w:rsid w:val="00404D82"/>
    <w:rsid w:val="00431FBB"/>
    <w:rsid w:val="004C4588"/>
    <w:rsid w:val="004C7D92"/>
    <w:rsid w:val="004D31F9"/>
    <w:rsid w:val="00522F71"/>
    <w:rsid w:val="0053619B"/>
    <w:rsid w:val="005723E9"/>
    <w:rsid w:val="00574E6D"/>
    <w:rsid w:val="00582DD2"/>
    <w:rsid w:val="005D278F"/>
    <w:rsid w:val="005D5729"/>
    <w:rsid w:val="005F366F"/>
    <w:rsid w:val="006672B8"/>
    <w:rsid w:val="00693D82"/>
    <w:rsid w:val="006B04F0"/>
    <w:rsid w:val="006C1DAE"/>
    <w:rsid w:val="006E6B92"/>
    <w:rsid w:val="007B0E45"/>
    <w:rsid w:val="007E1FDA"/>
    <w:rsid w:val="008059F8"/>
    <w:rsid w:val="008123C0"/>
    <w:rsid w:val="008446EC"/>
    <w:rsid w:val="00862E70"/>
    <w:rsid w:val="00891650"/>
    <w:rsid w:val="00895E61"/>
    <w:rsid w:val="008F5094"/>
    <w:rsid w:val="00903B71"/>
    <w:rsid w:val="0093164D"/>
    <w:rsid w:val="00944F66"/>
    <w:rsid w:val="00992B84"/>
    <w:rsid w:val="009C0B3C"/>
    <w:rsid w:val="00A32F9F"/>
    <w:rsid w:val="00A46C4E"/>
    <w:rsid w:val="00A873FA"/>
    <w:rsid w:val="00AC4820"/>
    <w:rsid w:val="00AF50E2"/>
    <w:rsid w:val="00B1234D"/>
    <w:rsid w:val="00B30BCB"/>
    <w:rsid w:val="00BB13FB"/>
    <w:rsid w:val="00BB1FA8"/>
    <w:rsid w:val="00BE70D0"/>
    <w:rsid w:val="00BF0DD8"/>
    <w:rsid w:val="00C0313F"/>
    <w:rsid w:val="00C11983"/>
    <w:rsid w:val="00C21A23"/>
    <w:rsid w:val="00C424FC"/>
    <w:rsid w:val="00C45787"/>
    <w:rsid w:val="00C551FD"/>
    <w:rsid w:val="00C60423"/>
    <w:rsid w:val="00CA5500"/>
    <w:rsid w:val="00CD1367"/>
    <w:rsid w:val="00CF0AAB"/>
    <w:rsid w:val="00D040F1"/>
    <w:rsid w:val="00D17411"/>
    <w:rsid w:val="00D43076"/>
    <w:rsid w:val="00D62525"/>
    <w:rsid w:val="00D6731D"/>
    <w:rsid w:val="00D7187F"/>
    <w:rsid w:val="00D83379"/>
    <w:rsid w:val="00D92274"/>
    <w:rsid w:val="00D97F3B"/>
    <w:rsid w:val="00DB7081"/>
    <w:rsid w:val="00E01510"/>
    <w:rsid w:val="00E359BA"/>
    <w:rsid w:val="00E4016F"/>
    <w:rsid w:val="00E7133F"/>
    <w:rsid w:val="00E75928"/>
    <w:rsid w:val="00F026B1"/>
    <w:rsid w:val="00F57139"/>
    <w:rsid w:val="00F57B46"/>
    <w:rsid w:val="00F65F20"/>
    <w:rsid w:val="00F86122"/>
    <w:rsid w:val="00F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B51B"/>
  <w15:docId w15:val="{CCE40F7B-62A1-4283-AF64-9A7DA38F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B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3">
    <w:name w:val="Grid Table 3"/>
    <w:basedOn w:val="TableNormal"/>
    <w:uiPriority w:val="48"/>
    <w:rsid w:val="00F57B4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aliasmainname">
    <w:name w:val="aliasmainname"/>
    <w:basedOn w:val="DefaultParagraphFont"/>
    <w:rsid w:val="00F57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8B4D6-02DB-40CD-B5D1-AD60FD49F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3967</Words>
  <Characters>22618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torres vilanova</dc:creator>
  <cp:keywords/>
  <dc:description/>
  <cp:lastModifiedBy>celia torres vilanova</cp:lastModifiedBy>
  <cp:revision>4</cp:revision>
  <dcterms:created xsi:type="dcterms:W3CDTF">2023-08-30T16:01:00Z</dcterms:created>
  <dcterms:modified xsi:type="dcterms:W3CDTF">2023-08-30T16:06:00Z</dcterms:modified>
</cp:coreProperties>
</file>