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4F4D7C" w:rsidRDefault="000E2FDE" w:rsidP="0027026A">
      <w:pPr>
        <w:jc w:val="center"/>
        <w:rPr>
          <w:lang w:val="sr-Cyrl-R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CF4950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НОВЕМБАР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0A0D4E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796D86">
        <w:rPr>
          <w:i/>
          <w:szCs w:val="20"/>
          <w:lang w:val="ru-RU"/>
        </w:rPr>
        <w:t xml:space="preserve">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</w:t>
      </w:r>
      <w:r w:rsidR="00362991">
        <w:rPr>
          <w:szCs w:val="20"/>
          <w:lang w:val="ru-RU"/>
        </w:rPr>
        <w:t xml:space="preserve"> Нове </w:t>
      </w:r>
      <w:r w:rsidR="004A45E7" w:rsidRPr="00E753FD">
        <w:rPr>
          <w:szCs w:val="20"/>
          <w:lang w:val="ru-RU"/>
        </w:rPr>
        <w:t xml:space="preserve">Просечне, односно Нове Минималне потрошачке корпе и просечне нето зараде у </w:t>
      </w:r>
      <w:r w:rsidR="00223281">
        <w:rPr>
          <w:szCs w:val="20"/>
          <w:lang w:val="sr-Cyrl-RS"/>
        </w:rPr>
        <w:t>новембру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1F4BC4">
        <w:rPr>
          <w:szCs w:val="20"/>
          <w:lang w:val="sr-Cyrl-RS"/>
        </w:rPr>
        <w:t>већа у</w:t>
      </w:r>
      <w:r w:rsidR="004D49EF">
        <w:rPr>
          <w:szCs w:val="20"/>
          <w:lang w:val="sr-Cyrl-RS"/>
        </w:rPr>
        <w:t xml:space="preserve"> односу на </w:t>
      </w:r>
      <w:r w:rsidR="00223281">
        <w:rPr>
          <w:szCs w:val="20"/>
          <w:lang w:val="sr-Cyrl-RS"/>
        </w:rPr>
        <w:t>октобар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223281">
        <w:rPr>
          <w:szCs w:val="20"/>
          <w:lang w:val="sr-Cyrl-CS"/>
        </w:rPr>
        <w:t>новембар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</w:t>
      </w:r>
      <w:r w:rsidR="002D3EE7">
        <w:rPr>
          <w:szCs w:val="20"/>
        </w:rPr>
        <w:t xml:space="preserve"> </w:t>
      </w:r>
      <w:r w:rsidR="00223281">
        <w:rPr>
          <w:i/>
          <w:szCs w:val="20"/>
          <w:lang w:val="sr-Cyrl-RS"/>
        </w:rPr>
        <w:t>79.865,34</w:t>
      </w:r>
      <w:r w:rsidR="00296603">
        <w:rPr>
          <w:szCs w:val="20"/>
          <w:lang w:val="sr-Cyrl-RS"/>
        </w:rPr>
        <w:t xml:space="preserve"> </w:t>
      </w:r>
      <w:r w:rsidR="002D3EE7">
        <w:rPr>
          <w:szCs w:val="20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223281">
        <w:rPr>
          <w:szCs w:val="20"/>
        </w:rPr>
        <w:t>755,46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4F4D7C">
        <w:rPr>
          <w:szCs w:val="20"/>
          <w:lang w:val="ru-RU"/>
        </w:rPr>
        <w:t>1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D34AE4">
        <w:rPr>
          <w:szCs w:val="20"/>
        </w:rPr>
        <w:t>новембар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391FB2">
        <w:rPr>
          <w:szCs w:val="20"/>
        </w:rPr>
        <w:t>8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</w:t>
      </w:r>
      <w:r w:rsidR="00796D86">
        <w:rPr>
          <w:szCs w:val="20"/>
          <w:lang w:val="sr-Cyrl-CS"/>
        </w:rPr>
        <w:t xml:space="preserve"> </w:t>
      </w:r>
      <w:r w:rsidR="00BB4AF5">
        <w:rPr>
          <w:szCs w:val="20"/>
          <w:lang w:val="sr-Cyrl-CS"/>
        </w:rPr>
        <w:t xml:space="preserve">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A243EA">
        <w:rPr>
          <w:szCs w:val="20"/>
          <w:lang w:val="sr-Cyrl-CS"/>
        </w:rPr>
        <w:t>новембар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2F503E">
        <w:rPr>
          <w:i/>
          <w:szCs w:val="20"/>
        </w:rPr>
        <w:t xml:space="preserve"> </w:t>
      </w:r>
      <w:r w:rsidR="00ED68A5">
        <w:rPr>
          <w:i/>
          <w:szCs w:val="20"/>
        </w:rPr>
        <w:t>41</w:t>
      </w:r>
      <w:r w:rsidR="008918E0">
        <w:rPr>
          <w:i/>
          <w:szCs w:val="20"/>
          <w:lang w:val="sr-Cyrl-RS"/>
        </w:rPr>
        <w:t>.</w:t>
      </w:r>
      <w:r w:rsidR="00ED68A5">
        <w:rPr>
          <w:i/>
          <w:szCs w:val="20"/>
        </w:rPr>
        <w:t>238,43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077BAE">
        <w:rPr>
          <w:szCs w:val="20"/>
          <w:lang w:val="sr-Cyrl-RS"/>
        </w:rPr>
        <w:t>4</w:t>
      </w:r>
      <w:r w:rsidR="00ED68A5">
        <w:rPr>
          <w:szCs w:val="20"/>
        </w:rPr>
        <w:t>93,44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4F4D7C">
        <w:rPr>
          <w:szCs w:val="20"/>
          <w:lang w:val="ru-RU"/>
        </w:rPr>
        <w:t>, или за 1</w:t>
      </w:r>
      <w:r w:rsidR="00ED68A5">
        <w:rPr>
          <w:szCs w:val="20"/>
        </w:rPr>
        <w:t>,2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9D4027">
        <w:rPr>
          <w:szCs w:val="20"/>
          <w:lang w:val="sr-Cyrl-CS"/>
        </w:rPr>
        <w:t>новембар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391FB2">
        <w:rPr>
          <w:szCs w:val="20"/>
        </w:rPr>
        <w:t>8,9</w:t>
      </w:r>
      <w:r w:rsidRPr="0040492C">
        <w:rPr>
          <w:szCs w:val="20"/>
          <w:lang w:val="sr-Cyrl-CS"/>
        </w:rPr>
        <w:t>%.</w:t>
      </w:r>
    </w:p>
    <w:p w:rsidR="00362991" w:rsidRPr="00296603" w:rsidRDefault="00CF1642" w:rsidP="00362991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077BAE">
        <w:rPr>
          <w:rFonts w:eastAsia="Times New Roman"/>
          <w:szCs w:val="20"/>
        </w:rPr>
        <w:t xml:space="preserve">. </w:t>
      </w:r>
      <w:r w:rsidR="00362991" w:rsidRPr="00296603">
        <w:rPr>
          <w:rFonts w:eastAsia="Times New Roman"/>
          <w:szCs w:val="20"/>
          <w:lang w:val="ru-RU"/>
        </w:rPr>
        <w:t>Просечна зара</w:t>
      </w:r>
      <w:r w:rsidR="00755B62">
        <w:rPr>
          <w:rFonts w:eastAsia="Times New Roman"/>
          <w:szCs w:val="20"/>
          <w:lang w:val="ru-RU"/>
        </w:rPr>
        <w:t>да (бруто) обрачуната за новембар 2021. године износила је 95</w:t>
      </w:r>
      <w:r w:rsidR="00935543" w:rsidRPr="00296603">
        <w:rPr>
          <w:rFonts w:eastAsia="Times New Roman"/>
          <w:szCs w:val="20"/>
          <w:lang w:val="ru-RU"/>
        </w:rPr>
        <w:t>.</w:t>
      </w:r>
      <w:r w:rsidR="00755B62">
        <w:rPr>
          <w:rFonts w:eastAsia="Times New Roman"/>
          <w:szCs w:val="20"/>
          <w:lang w:val="ru-RU"/>
        </w:rPr>
        <w:t>312</w:t>
      </w:r>
      <w:r w:rsidR="00362991" w:rsidRPr="00296603">
        <w:rPr>
          <w:rFonts w:eastAsia="Times New Roman"/>
          <w:szCs w:val="20"/>
          <w:lang w:val="ru-RU"/>
        </w:rPr>
        <w:t xml:space="preserve"> динара, док је просечна зарада без порез</w:t>
      </w:r>
      <w:r w:rsidR="00755B62">
        <w:rPr>
          <w:rFonts w:eastAsia="Times New Roman"/>
          <w:szCs w:val="20"/>
          <w:lang w:val="ru-RU"/>
        </w:rPr>
        <w:t>а и доприноса (нето) износила 69</w:t>
      </w:r>
      <w:r w:rsidR="00935543" w:rsidRPr="00296603">
        <w:rPr>
          <w:rFonts w:eastAsia="Times New Roman"/>
          <w:szCs w:val="20"/>
          <w:lang w:val="ru-RU"/>
        </w:rPr>
        <w:t>.</w:t>
      </w:r>
      <w:r w:rsidR="00755B62">
        <w:rPr>
          <w:rFonts w:eastAsia="Times New Roman"/>
          <w:szCs w:val="20"/>
          <w:lang w:val="ru-RU"/>
        </w:rPr>
        <w:t xml:space="preserve">136 </w:t>
      </w:r>
      <w:r w:rsidR="00362991" w:rsidRPr="00296603">
        <w:rPr>
          <w:rFonts w:eastAsia="Times New Roman"/>
          <w:szCs w:val="20"/>
          <w:lang w:val="ru-RU"/>
        </w:rPr>
        <w:t>динара.</w:t>
      </w:r>
    </w:p>
    <w:p w:rsidR="00362991" w:rsidRPr="00296603" w:rsidRDefault="00362991" w:rsidP="00362991">
      <w:pPr>
        <w:spacing w:before="120" w:after="120"/>
        <w:ind w:firstLine="750"/>
        <w:rPr>
          <w:szCs w:val="20"/>
          <w:lang w:val="ru-RU"/>
        </w:rPr>
      </w:pPr>
      <w:r w:rsidRPr="00296603">
        <w:rPr>
          <w:szCs w:val="20"/>
          <w:lang w:val="ru-RU"/>
        </w:rPr>
        <w:t>Раст бруто</w:t>
      </w:r>
      <w:r w:rsidR="0035283F">
        <w:rPr>
          <w:szCs w:val="20"/>
          <w:lang w:val="ru-RU"/>
        </w:rPr>
        <w:t xml:space="preserve"> зарада у периоду јануар–новембар</w:t>
      </w:r>
      <w:r w:rsidRPr="00296603">
        <w:rPr>
          <w:szCs w:val="20"/>
          <w:lang w:val="ru-RU"/>
        </w:rPr>
        <w:t xml:space="preserve"> 2021. године, у односу на исти пери</w:t>
      </w:r>
      <w:r w:rsidR="0035283F">
        <w:rPr>
          <w:szCs w:val="20"/>
          <w:lang w:val="ru-RU"/>
        </w:rPr>
        <w:t>од прошле године, износио је 9,1% номинално, односно 5,2</w:t>
      </w:r>
      <w:r w:rsidRPr="00296603">
        <w:rPr>
          <w:szCs w:val="20"/>
          <w:lang w:val="ru-RU"/>
        </w:rPr>
        <w:t>% реално. Истовремен</w:t>
      </w:r>
      <w:r w:rsidR="0035283F">
        <w:rPr>
          <w:szCs w:val="20"/>
          <w:lang w:val="ru-RU"/>
        </w:rPr>
        <w:t>о, нето зараде су порасле за 9,3% номинално и за 5,4</w:t>
      </w:r>
      <w:r w:rsidRPr="00296603">
        <w:rPr>
          <w:szCs w:val="20"/>
          <w:lang w:val="ru-RU"/>
        </w:rPr>
        <w:t>% реално.</w:t>
      </w:r>
    </w:p>
    <w:p w:rsidR="00362991" w:rsidRPr="00296603" w:rsidRDefault="00362991" w:rsidP="00362991">
      <w:pPr>
        <w:spacing w:before="120" w:after="120"/>
        <w:ind w:firstLine="750"/>
        <w:rPr>
          <w:szCs w:val="20"/>
          <w:lang w:val="ru-RU"/>
        </w:rPr>
      </w:pPr>
      <w:r w:rsidRPr="00296603">
        <w:rPr>
          <w:szCs w:val="20"/>
          <w:lang w:val="ru-RU"/>
        </w:rPr>
        <w:t xml:space="preserve">У поређењу са истим месецом претходне године, </w:t>
      </w:r>
      <w:r w:rsidR="0078775E">
        <w:rPr>
          <w:szCs w:val="20"/>
          <w:lang w:val="ru-RU"/>
        </w:rPr>
        <w:t>просечна бруто зарада за новембар</w:t>
      </w:r>
      <w:r w:rsidRPr="00296603">
        <w:rPr>
          <w:szCs w:val="20"/>
          <w:lang w:val="ru-RU"/>
        </w:rPr>
        <w:t xml:space="preserve"> 202</w:t>
      </w:r>
      <w:r w:rsidR="0078775E">
        <w:rPr>
          <w:szCs w:val="20"/>
          <w:lang w:val="ru-RU"/>
        </w:rPr>
        <w:t>1. године номинално је већа за 13,2%, а реално за 5,3</w:t>
      </w:r>
      <w:r w:rsidRPr="00296603">
        <w:rPr>
          <w:szCs w:val="20"/>
          <w:lang w:val="ru-RU"/>
        </w:rPr>
        <w:t>%, док је просечна н</w:t>
      </w:r>
      <w:r w:rsidR="0078775E">
        <w:rPr>
          <w:szCs w:val="20"/>
          <w:lang w:val="ru-RU"/>
        </w:rPr>
        <w:t>ето зарада номинално већа за 13,5%, односно за 5,6</w:t>
      </w:r>
      <w:r w:rsidRPr="00296603">
        <w:rPr>
          <w:szCs w:val="20"/>
          <w:lang w:val="ru-RU"/>
        </w:rPr>
        <w:t>% реално.</w:t>
      </w:r>
    </w:p>
    <w:p w:rsidR="00AB0125" w:rsidRPr="00296603" w:rsidRDefault="004A45E7" w:rsidP="00BB4AF5">
      <w:pPr>
        <w:rPr>
          <w:szCs w:val="20"/>
          <w:lang w:val="ru-RU"/>
        </w:rPr>
      </w:pPr>
      <w:r w:rsidRPr="00296603">
        <w:rPr>
          <w:lang w:val="ru-RU"/>
        </w:rPr>
        <w:t xml:space="preserve">         </w:t>
      </w:r>
      <w:r w:rsidR="00BB4AF5" w:rsidRPr="00296603">
        <w:rPr>
          <w:lang w:val="ru-RU"/>
        </w:rPr>
        <w:t xml:space="preserve">               </w:t>
      </w:r>
      <w:r w:rsidRPr="00296603">
        <w:rPr>
          <w:lang w:val="ru-RU"/>
        </w:rPr>
        <w:t xml:space="preserve"> 3. </w:t>
      </w:r>
      <w:r w:rsidR="005866C1" w:rsidRPr="00296603">
        <w:t xml:space="preserve"> </w:t>
      </w:r>
      <w:r w:rsidR="00AB0125" w:rsidRPr="00296603">
        <w:rPr>
          <w:szCs w:val="20"/>
          <w:lang w:val="ru-RU"/>
        </w:rPr>
        <w:t xml:space="preserve">За покриће Нове Просечне потрошачке корпе у </w:t>
      </w:r>
      <w:r w:rsidR="00504752">
        <w:rPr>
          <w:szCs w:val="20"/>
          <w:lang w:val="ru-RU"/>
        </w:rPr>
        <w:t>новембру</w:t>
      </w:r>
      <w:r w:rsidR="002920C6" w:rsidRPr="00296603">
        <w:rPr>
          <w:szCs w:val="20"/>
          <w:lang w:val="ru-RU"/>
        </w:rPr>
        <w:t xml:space="preserve"> 2021</w:t>
      </w:r>
      <w:r w:rsidR="00AB0125" w:rsidRPr="00296603">
        <w:rPr>
          <w:szCs w:val="20"/>
          <w:lang w:val="ru-RU"/>
        </w:rPr>
        <w:t xml:space="preserve">. </w:t>
      </w:r>
      <w:r w:rsidR="00B039C5" w:rsidRPr="00296603">
        <w:rPr>
          <w:szCs w:val="20"/>
          <w:lang w:val="ru-RU"/>
        </w:rPr>
        <w:t>г</w:t>
      </w:r>
      <w:r w:rsidR="0048459E" w:rsidRPr="00296603">
        <w:rPr>
          <w:szCs w:val="20"/>
          <w:lang w:val="ru-RU"/>
        </w:rPr>
        <w:t>одине било је потребно 1,</w:t>
      </w:r>
      <w:r w:rsidR="009F4C63">
        <w:rPr>
          <w:szCs w:val="20"/>
          <w:lang w:val="ru-RU"/>
        </w:rPr>
        <w:t>15</w:t>
      </w:r>
      <w:r w:rsidR="00AB0125" w:rsidRPr="00296603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9F4C63">
        <w:rPr>
          <w:szCs w:val="20"/>
          <w:lang w:val="ru-RU"/>
        </w:rPr>
        <w:t>60</w:t>
      </w:r>
      <w:r w:rsidR="002920C6" w:rsidRPr="00296603">
        <w:rPr>
          <w:szCs w:val="20"/>
          <w:lang w:val="ru-RU"/>
        </w:rPr>
        <w:t xml:space="preserve"> </w:t>
      </w:r>
      <w:r w:rsidR="00AB0125" w:rsidRPr="00296603">
        <w:rPr>
          <w:szCs w:val="20"/>
          <w:lang w:val="ru-RU"/>
        </w:rPr>
        <w:t>просечне зараде.</w:t>
      </w:r>
    </w:p>
    <w:p w:rsidR="00CE5900" w:rsidRPr="00296603" w:rsidRDefault="002F75E8" w:rsidP="00CE5900">
      <w:pPr>
        <w:ind w:left="113" w:firstLine="720"/>
        <w:rPr>
          <w:szCs w:val="20"/>
          <w:lang w:val="ru-RU"/>
        </w:rPr>
      </w:pPr>
      <w:r w:rsidRPr="00296603">
        <w:rPr>
          <w:szCs w:val="20"/>
          <w:lang w:val="ru-RU"/>
        </w:rPr>
        <w:t xml:space="preserve">             </w:t>
      </w:r>
      <w:r w:rsidR="00BB4AF5" w:rsidRPr="00296603">
        <w:rPr>
          <w:szCs w:val="20"/>
          <w:lang w:val="ru-RU"/>
        </w:rPr>
        <w:t xml:space="preserve">  </w:t>
      </w:r>
      <w:r w:rsidR="00CE5900" w:rsidRPr="00296603">
        <w:rPr>
          <w:szCs w:val="20"/>
          <w:lang w:val="ru-RU"/>
        </w:rPr>
        <w:t xml:space="preserve">За покриће Нове Просечне потрошачке корпе </w:t>
      </w:r>
      <w:r w:rsidR="0081522E" w:rsidRPr="00296603">
        <w:rPr>
          <w:szCs w:val="20"/>
          <w:lang w:val="ru-RU"/>
        </w:rPr>
        <w:t xml:space="preserve">у </w:t>
      </w:r>
      <w:r w:rsidR="00504752">
        <w:rPr>
          <w:szCs w:val="20"/>
          <w:lang w:val="sr-Cyrl-RS"/>
        </w:rPr>
        <w:t>октобру</w:t>
      </w:r>
      <w:r w:rsidR="00D731B8" w:rsidRPr="00296603">
        <w:rPr>
          <w:szCs w:val="20"/>
          <w:lang w:val="ru-RU"/>
        </w:rPr>
        <w:t xml:space="preserve"> </w:t>
      </w:r>
      <w:r w:rsidR="00AE0364" w:rsidRPr="00296603">
        <w:rPr>
          <w:szCs w:val="20"/>
          <w:lang w:val="ru-RU"/>
        </w:rPr>
        <w:t xml:space="preserve"> 2021</w:t>
      </w:r>
      <w:r w:rsidR="00CE5900" w:rsidRPr="00296603">
        <w:rPr>
          <w:szCs w:val="20"/>
          <w:lang w:val="ru-RU"/>
        </w:rPr>
        <w:t xml:space="preserve">. </w:t>
      </w:r>
      <w:r w:rsidR="00B039C5" w:rsidRPr="00296603">
        <w:rPr>
          <w:szCs w:val="20"/>
          <w:lang w:val="ru-RU"/>
        </w:rPr>
        <w:t>г</w:t>
      </w:r>
      <w:r w:rsidR="00CE5900" w:rsidRPr="00296603">
        <w:rPr>
          <w:szCs w:val="20"/>
          <w:lang w:val="ru-RU"/>
        </w:rPr>
        <w:t>одине било је потребно 1,</w:t>
      </w:r>
      <w:r w:rsidR="00077BAE" w:rsidRPr="00296603">
        <w:rPr>
          <w:szCs w:val="20"/>
          <w:lang w:val="ru-RU"/>
        </w:rPr>
        <w:t>20</w:t>
      </w:r>
      <w:r w:rsidR="00B61820" w:rsidRPr="00296603">
        <w:rPr>
          <w:szCs w:val="20"/>
          <w:lang w:val="ru-RU"/>
        </w:rPr>
        <w:t xml:space="preserve"> </w:t>
      </w:r>
      <w:r w:rsidR="00CE5900" w:rsidRPr="00296603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2F503E" w:rsidRPr="00296603">
        <w:rPr>
          <w:szCs w:val="20"/>
          <w:lang w:val="ru-RU"/>
        </w:rPr>
        <w:t>6</w:t>
      </w:r>
      <w:r w:rsidR="00077BAE" w:rsidRPr="00296603">
        <w:rPr>
          <w:szCs w:val="20"/>
          <w:lang w:val="ru-RU"/>
        </w:rPr>
        <w:t>2</w:t>
      </w:r>
      <w:r w:rsidR="00000B94" w:rsidRPr="00296603">
        <w:rPr>
          <w:szCs w:val="20"/>
          <w:lang w:val="ru-RU"/>
        </w:rPr>
        <w:t xml:space="preserve"> </w:t>
      </w:r>
      <w:r w:rsidR="00CE5900" w:rsidRPr="00296603">
        <w:rPr>
          <w:szCs w:val="20"/>
          <w:lang w:val="ru-RU"/>
        </w:rPr>
        <w:t>просечне зараде.</w:t>
      </w:r>
    </w:p>
    <w:p w:rsidR="004A45E7" w:rsidRPr="00296603" w:rsidRDefault="002F75E8" w:rsidP="00AB0125">
      <w:pPr>
        <w:ind w:left="113" w:firstLine="720"/>
        <w:rPr>
          <w:szCs w:val="20"/>
          <w:lang w:val="ru-RU"/>
        </w:rPr>
      </w:pPr>
      <w:r w:rsidRPr="00296603">
        <w:rPr>
          <w:szCs w:val="20"/>
          <w:lang w:val="ru-RU"/>
        </w:rPr>
        <w:t xml:space="preserve">           </w:t>
      </w:r>
      <w:r w:rsidR="00BB4AF5" w:rsidRPr="00296603">
        <w:rPr>
          <w:szCs w:val="20"/>
          <w:lang w:val="ru-RU"/>
        </w:rPr>
        <w:t xml:space="preserve">  </w:t>
      </w:r>
      <w:r w:rsidRPr="00296603">
        <w:rPr>
          <w:szCs w:val="20"/>
          <w:lang w:val="ru-RU"/>
        </w:rPr>
        <w:t xml:space="preserve">  </w:t>
      </w:r>
      <w:r w:rsidR="003F496A" w:rsidRPr="00296603">
        <w:rPr>
          <w:szCs w:val="20"/>
          <w:lang w:val="ru-RU"/>
        </w:rPr>
        <w:t xml:space="preserve">За покриће Нове Просечне потрошачке корпе у </w:t>
      </w:r>
      <w:r w:rsidR="00F74351">
        <w:rPr>
          <w:szCs w:val="20"/>
          <w:lang w:val="ru-RU"/>
        </w:rPr>
        <w:t>новембру</w:t>
      </w:r>
      <w:r w:rsidR="003F496A" w:rsidRPr="00296603">
        <w:rPr>
          <w:szCs w:val="20"/>
          <w:lang w:val="ru-RU"/>
        </w:rPr>
        <w:t xml:space="preserve"> 20</w:t>
      </w:r>
      <w:r w:rsidR="002920C6" w:rsidRPr="00296603">
        <w:rPr>
          <w:szCs w:val="20"/>
          <w:lang w:val="ru-RU"/>
        </w:rPr>
        <w:t>20</w:t>
      </w:r>
      <w:r w:rsidR="003F496A" w:rsidRPr="00296603">
        <w:rPr>
          <w:szCs w:val="20"/>
          <w:lang w:val="ru-RU"/>
        </w:rPr>
        <w:t xml:space="preserve">. </w:t>
      </w:r>
      <w:r w:rsidR="008B57A9" w:rsidRPr="00296603">
        <w:rPr>
          <w:szCs w:val="20"/>
          <w:lang w:val="ru-RU"/>
        </w:rPr>
        <w:t>г</w:t>
      </w:r>
      <w:r w:rsidR="003F496A" w:rsidRPr="00296603">
        <w:rPr>
          <w:szCs w:val="20"/>
          <w:lang w:val="ru-RU"/>
        </w:rPr>
        <w:t>одине било је потребно 1,</w:t>
      </w:r>
      <w:r w:rsidR="00F74351">
        <w:rPr>
          <w:szCs w:val="20"/>
          <w:lang w:val="ru-RU"/>
        </w:rPr>
        <w:t>21</w:t>
      </w:r>
      <w:r w:rsidR="003F496A" w:rsidRPr="00296603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F74351">
        <w:rPr>
          <w:szCs w:val="20"/>
          <w:lang w:val="ru-RU"/>
        </w:rPr>
        <w:t>2</w:t>
      </w:r>
      <w:r w:rsidR="003F496A" w:rsidRPr="00296603">
        <w:rPr>
          <w:szCs w:val="20"/>
          <w:lang w:val="ru-RU"/>
        </w:rPr>
        <w:t xml:space="preserve"> просечне зараде.</w:t>
      </w:r>
    </w:p>
    <w:p w:rsidR="002B2587" w:rsidRPr="00296603" w:rsidRDefault="002B2587" w:rsidP="00AB0125">
      <w:pPr>
        <w:ind w:left="113" w:firstLine="720"/>
        <w:rPr>
          <w:szCs w:val="20"/>
          <w:lang w:val="ru-RU"/>
        </w:rPr>
      </w:pPr>
    </w:p>
    <w:p w:rsidR="006A5EAF" w:rsidRPr="00296603" w:rsidRDefault="002B2587" w:rsidP="006A5EAF">
      <w:pPr>
        <w:ind w:left="113" w:firstLine="720"/>
      </w:pPr>
      <w:r w:rsidRPr="00296603">
        <w:t xml:space="preserve">       </w:t>
      </w:r>
      <w:r w:rsidR="002B2139" w:rsidRPr="00296603">
        <w:t xml:space="preserve"> </w:t>
      </w:r>
      <w:r w:rsidR="00BB4AF5" w:rsidRPr="00296603">
        <w:rPr>
          <w:lang w:val="sr-Cyrl-RS"/>
        </w:rPr>
        <w:t xml:space="preserve"> </w:t>
      </w:r>
      <w:r w:rsidR="002B2139" w:rsidRPr="00296603">
        <w:t xml:space="preserve">  </w:t>
      </w:r>
      <w:r w:rsidR="00CD7DBE" w:rsidRPr="00296603">
        <w:t>4</w:t>
      </w:r>
      <w:r w:rsidR="00771309" w:rsidRPr="00296603">
        <w:rPr>
          <w:lang w:val="sr-Cyrl-RS"/>
        </w:rPr>
        <w:t xml:space="preserve">. </w:t>
      </w:r>
      <w:r w:rsidR="006A5EAF" w:rsidRPr="00296603">
        <w:t xml:space="preserve">        </w:t>
      </w:r>
      <w:r w:rsidR="006A5EAF" w:rsidRPr="00296603">
        <w:rPr>
          <w:lang w:val="sr-Cyrl-RS"/>
        </w:rPr>
        <w:t xml:space="preserve">  </w:t>
      </w:r>
      <w:r w:rsidR="006A5EAF" w:rsidRPr="00296603">
        <w:t>Цене производа и услуга личне потрошње у</w:t>
      </w:r>
      <w:r w:rsidR="00223E1E">
        <w:rPr>
          <w:lang w:val="sr-Cyrl-RS"/>
        </w:rPr>
        <w:t xml:space="preserve"> новембру</w:t>
      </w:r>
      <w:r w:rsidR="006A5EAF" w:rsidRPr="00296603">
        <w:t xml:space="preserve"> 20</w:t>
      </w:r>
      <w:r w:rsidR="006A5EAF" w:rsidRPr="00296603">
        <w:rPr>
          <w:lang w:val="sr-Cyrl-RS"/>
        </w:rPr>
        <w:t>21</w:t>
      </w:r>
      <w:r w:rsidR="006A5EAF" w:rsidRPr="00296603">
        <w:t xml:space="preserve">. године, у односу на </w:t>
      </w:r>
      <w:r w:rsidR="00223E1E">
        <w:rPr>
          <w:lang w:val="sr-Cyrl-RS"/>
        </w:rPr>
        <w:t>октобар</w:t>
      </w:r>
      <w:r w:rsidR="006A5EAF" w:rsidRPr="00296603">
        <w:rPr>
          <w:lang w:val="sr-Cyrl-RS"/>
        </w:rPr>
        <w:t xml:space="preserve"> </w:t>
      </w:r>
      <w:r w:rsidR="006A5EAF" w:rsidRPr="00296603">
        <w:t>20</w:t>
      </w:r>
      <w:r w:rsidR="006A5EAF" w:rsidRPr="00296603">
        <w:rPr>
          <w:lang w:val="sr-Cyrl-RS"/>
        </w:rPr>
        <w:t>21</w:t>
      </w:r>
      <w:r w:rsidR="006A5EAF" w:rsidRPr="00296603">
        <w:t xml:space="preserve">. године, у просеку су </w:t>
      </w:r>
      <w:r w:rsidR="006A5EAF" w:rsidRPr="00296603">
        <w:rPr>
          <w:lang w:val="sr-Cyrl-RS"/>
        </w:rPr>
        <w:t xml:space="preserve">повећане за 0,9%. </w:t>
      </w:r>
      <w:r w:rsidR="006A5EAF" w:rsidRPr="00296603">
        <w:t>Потрошачке цене у</w:t>
      </w:r>
      <w:r w:rsidR="00223E1E">
        <w:rPr>
          <w:lang w:val="sr-Cyrl-RS"/>
        </w:rPr>
        <w:t xml:space="preserve"> новембру</w:t>
      </w:r>
      <w:r w:rsidR="006A5EAF" w:rsidRPr="00296603">
        <w:t xml:space="preserve"> 20</w:t>
      </w:r>
      <w:r w:rsidR="006A5EAF" w:rsidRPr="00296603">
        <w:rPr>
          <w:lang w:val="sr-Cyrl-RS"/>
        </w:rPr>
        <w:t>21.</w:t>
      </w:r>
      <w:r w:rsidR="006A5EAF" w:rsidRPr="00296603">
        <w:t xml:space="preserve"> године, у поређењу са истим месецом претходне године, повећане су за </w:t>
      </w:r>
      <w:r w:rsidR="00223E1E">
        <w:rPr>
          <w:lang w:val="sr-Cyrl-RS"/>
        </w:rPr>
        <w:t>7,5</w:t>
      </w:r>
      <w:r w:rsidR="006A5EAF" w:rsidRPr="00296603">
        <w:rPr>
          <w:lang w:val="sr-Cyrl-RS"/>
        </w:rPr>
        <w:t>%, док су у поређењу са деце</w:t>
      </w:r>
      <w:r w:rsidR="00223E1E">
        <w:rPr>
          <w:lang w:val="sr-Cyrl-RS"/>
        </w:rPr>
        <w:t>мбром 2020. године повећане за 7</w:t>
      </w:r>
      <w:r w:rsidR="006A5EAF" w:rsidRPr="00296603">
        <w:rPr>
          <w:lang w:val="sr-Cyrl-RS"/>
        </w:rPr>
        <w:t xml:space="preserve">,4% у просеку. </w:t>
      </w:r>
    </w:p>
    <w:p w:rsidR="006A5EAF" w:rsidRPr="00296603" w:rsidRDefault="006A5EAF" w:rsidP="006A5EAF">
      <w:pPr>
        <w:ind w:left="113" w:firstLine="720"/>
      </w:pPr>
      <w:r w:rsidRPr="00296603">
        <w:t xml:space="preserve">        </w:t>
      </w:r>
      <w:r w:rsidRPr="00296603">
        <w:rPr>
          <w:lang w:val="sr-Cyrl-RS"/>
        </w:rPr>
        <w:t xml:space="preserve">  </w:t>
      </w:r>
      <w:r w:rsidRPr="00296603">
        <w:t>Посматрано по главним групама производа и услуга класификованих према намени потрошње, у</w:t>
      </w:r>
      <w:r w:rsidRPr="00296603">
        <w:rPr>
          <w:lang w:val="sr-Cyrl-RS"/>
        </w:rPr>
        <w:t xml:space="preserve"> октобру</w:t>
      </w:r>
      <w:r w:rsidRPr="00296603">
        <w:t xml:space="preserve"> 20</w:t>
      </w:r>
      <w:r w:rsidRPr="00296603">
        <w:rPr>
          <w:lang w:val="sr-Cyrl-RS"/>
        </w:rPr>
        <w:t>21</w:t>
      </w:r>
      <w:r w:rsidRPr="00296603">
        <w:t xml:space="preserve">. године, у односу на претходни месец, </w:t>
      </w:r>
      <w:r w:rsidRPr="00296603">
        <w:rPr>
          <w:lang w:val="sr-Cyrl-RS"/>
        </w:rPr>
        <w:t>раст цена је забележен у групама Транспо</w:t>
      </w:r>
      <w:r w:rsidR="006A5F46">
        <w:rPr>
          <w:lang w:val="sr-Cyrl-RS"/>
        </w:rPr>
        <w:t>рт (1,3</w:t>
      </w:r>
      <w:r w:rsidRPr="00296603">
        <w:rPr>
          <w:lang w:val="sr-Cyrl-RS"/>
        </w:rPr>
        <w:t xml:space="preserve">%), </w:t>
      </w:r>
      <w:r w:rsidR="006A5F46">
        <w:rPr>
          <w:lang w:val="sr-Cyrl-RS"/>
        </w:rPr>
        <w:t xml:space="preserve">Ресторани и хотели и </w:t>
      </w:r>
      <w:r w:rsidRPr="00296603">
        <w:rPr>
          <w:lang w:val="sr-Cyrl-RS"/>
        </w:rPr>
        <w:t>Одећа и обућа (</w:t>
      </w:r>
      <w:r w:rsidR="006A5F46">
        <w:rPr>
          <w:lang w:val="sr-Cyrl-RS"/>
        </w:rPr>
        <w:t xml:space="preserve"> за по 1,2</w:t>
      </w:r>
      <w:r w:rsidRPr="00296603">
        <w:rPr>
          <w:lang w:val="sr-Cyrl-RS"/>
        </w:rPr>
        <w:t>%), Храна и безалкохолна пића (</w:t>
      </w:r>
      <w:r w:rsidR="006A5F46">
        <w:rPr>
          <w:lang w:val="sr-Cyrl-RS"/>
        </w:rPr>
        <w:t>1,5</w:t>
      </w:r>
      <w:r w:rsidRPr="00296603">
        <w:rPr>
          <w:lang w:val="sr-Cyrl-RS"/>
        </w:rPr>
        <w:t xml:space="preserve">%), </w:t>
      </w:r>
      <w:r w:rsidR="004F7958">
        <w:rPr>
          <w:lang w:val="sr-Cyrl-RS"/>
        </w:rPr>
        <w:t xml:space="preserve">у групама </w:t>
      </w:r>
      <w:r w:rsidRPr="00296603">
        <w:rPr>
          <w:lang w:val="sr-Cyrl-RS"/>
        </w:rPr>
        <w:t>Стан, вода, електрична енергија, гас и друга горива</w:t>
      </w:r>
      <w:r w:rsidR="006A5F46">
        <w:rPr>
          <w:lang w:val="sr-Cyrl-RS"/>
        </w:rPr>
        <w:t xml:space="preserve"> и Здравство </w:t>
      </w:r>
      <w:r w:rsidRPr="00296603">
        <w:rPr>
          <w:lang w:val="sr-Cyrl-RS"/>
        </w:rPr>
        <w:t xml:space="preserve"> (</w:t>
      </w:r>
      <w:r w:rsidR="006A5F46">
        <w:rPr>
          <w:lang w:val="sr-Cyrl-RS"/>
        </w:rPr>
        <w:t xml:space="preserve"> за по 0,6</w:t>
      </w:r>
      <w:r w:rsidRPr="00296603">
        <w:rPr>
          <w:lang w:val="sr-Cyrl-RS"/>
        </w:rPr>
        <w:t>%), Намештај, покућст</w:t>
      </w:r>
      <w:r w:rsidR="006A5F46">
        <w:rPr>
          <w:lang w:val="sr-Cyrl-RS"/>
        </w:rPr>
        <w:t>во и текуће одржавање стана (0,8</w:t>
      </w:r>
      <w:r w:rsidRPr="00296603">
        <w:rPr>
          <w:lang w:val="sr-Cyrl-RS"/>
        </w:rPr>
        <w:t>%). Раст цен</w:t>
      </w:r>
      <w:r w:rsidR="006A5F46">
        <w:rPr>
          <w:lang w:val="sr-Cyrl-RS"/>
        </w:rPr>
        <w:t>а је забележен и у групама Комуникације и образовање (за по 0,1%).</w:t>
      </w:r>
    </w:p>
    <w:p w:rsidR="006A5EAF" w:rsidRPr="00074192" w:rsidRDefault="006A5EAF" w:rsidP="00074192">
      <w:pPr>
        <w:ind w:left="113" w:firstLine="720"/>
        <w:rPr>
          <w:lang w:val="sr-Cyrl-RS"/>
        </w:rPr>
      </w:pPr>
      <w:r w:rsidRPr="00296603">
        <w:rPr>
          <w:lang w:val="sr-Cyrl-RS"/>
        </w:rPr>
        <w:t xml:space="preserve">         Цене осталих про</w:t>
      </w:r>
      <w:r w:rsidRPr="00296603">
        <w:t>извода и услуга нису се битније мењале.</w:t>
      </w:r>
    </w:p>
    <w:p w:rsidR="00885B83" w:rsidRPr="00296603" w:rsidRDefault="00885B83" w:rsidP="00362991">
      <w:pPr>
        <w:ind w:left="113" w:firstLine="720"/>
        <w:rPr>
          <w:lang w:val="sr-Cyrl-RS"/>
        </w:rPr>
      </w:pPr>
    </w:p>
    <w:p w:rsidR="00885B83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296603">
        <w:rPr>
          <w:rFonts w:eastAsiaTheme="minorHAnsi"/>
          <w:lang w:val="ru-RU"/>
        </w:rPr>
        <w:lastRenderedPageBreak/>
        <w:t xml:space="preserve">                     </w:t>
      </w:r>
      <w:r w:rsidR="002B2587" w:rsidRPr="00296603">
        <w:rPr>
          <w:rFonts w:eastAsiaTheme="minorHAnsi"/>
          <w:lang w:val="ru-RU"/>
        </w:rPr>
        <w:t xml:space="preserve"> 5.  </w:t>
      </w:r>
      <w:bookmarkStart w:id="0" w:name="_Hlk91675699"/>
      <w:r w:rsidR="00DE553C" w:rsidRPr="00296603">
        <w:rPr>
          <w:rFonts w:eastAsiaTheme="minorHAnsi"/>
          <w:lang w:val="ru-RU"/>
        </w:rPr>
        <w:t>Посматрано по градовима, натпросечну нето зараду у</w:t>
      </w:r>
      <w:r w:rsidR="007D620B" w:rsidRPr="00296603">
        <w:rPr>
          <w:rFonts w:eastAsiaTheme="minorHAnsi"/>
          <w:lang w:val="ru-RU"/>
        </w:rPr>
        <w:t xml:space="preserve"> </w:t>
      </w:r>
      <w:r w:rsidR="00080AD4">
        <w:rPr>
          <w:rFonts w:eastAsiaTheme="minorHAnsi"/>
          <w:lang w:val="ru-RU"/>
        </w:rPr>
        <w:t>новембру</w:t>
      </w:r>
      <w:r w:rsidR="003A0CFA" w:rsidRPr="00296603">
        <w:rPr>
          <w:rFonts w:eastAsiaTheme="minorHAnsi"/>
          <w:lang w:val="ru-RU"/>
        </w:rPr>
        <w:t xml:space="preserve"> </w:t>
      </w:r>
      <w:r w:rsidR="00A9457B" w:rsidRPr="00296603">
        <w:rPr>
          <w:rFonts w:eastAsiaTheme="minorHAnsi"/>
          <w:lang w:val="ru-RU"/>
        </w:rPr>
        <w:t>2021</w:t>
      </w:r>
      <w:r w:rsidR="00DE553C" w:rsidRPr="00296603">
        <w:rPr>
          <w:rFonts w:eastAsiaTheme="minorHAnsi"/>
          <w:lang w:val="ru-RU"/>
        </w:rPr>
        <w:t xml:space="preserve">. </w:t>
      </w:r>
      <w:r w:rsidR="00C1253F" w:rsidRPr="00296603">
        <w:rPr>
          <w:rFonts w:eastAsiaTheme="minorHAnsi"/>
          <w:lang w:val="ru-RU"/>
        </w:rPr>
        <w:t>г</w:t>
      </w:r>
      <w:r w:rsidR="00DE553C" w:rsidRPr="00296603">
        <w:rPr>
          <w:rFonts w:eastAsiaTheme="minorHAnsi"/>
          <w:lang w:val="ru-RU"/>
        </w:rPr>
        <w:t>одине статистика је регистровала у Београду (</w:t>
      </w:r>
      <w:r w:rsidR="00353B06">
        <w:rPr>
          <w:rFonts w:eastAsiaTheme="minorHAnsi"/>
        </w:rPr>
        <w:t>87.181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353B06">
        <w:rPr>
          <w:rFonts w:eastAsiaTheme="minorHAnsi"/>
        </w:rPr>
        <w:t xml:space="preserve">80.903  </w:t>
      </w:r>
      <w:r w:rsidR="00DE553C"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476FE7">
        <w:rPr>
          <w:rFonts w:eastAsiaTheme="minorHAnsi"/>
          <w:lang w:val="ru-RU"/>
        </w:rPr>
        <w:t>октобар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 xml:space="preserve">регистрована је у </w:t>
      </w:r>
      <w:r w:rsidR="00771309">
        <w:rPr>
          <w:rFonts w:eastAsiaTheme="minorHAnsi"/>
          <w:lang w:val="ru-RU"/>
        </w:rPr>
        <w:t>Панчеву (6</w:t>
      </w:r>
      <w:r w:rsidR="00353B06">
        <w:rPr>
          <w:rFonts w:eastAsiaTheme="minorHAnsi"/>
        </w:rPr>
        <w:t>7.620</w:t>
      </w:r>
      <w:r w:rsidR="00771309">
        <w:rPr>
          <w:rFonts w:eastAsiaTheme="minorHAnsi"/>
          <w:lang w:val="ru-RU"/>
        </w:rPr>
        <w:t xml:space="preserve"> </w:t>
      </w:r>
      <w:r w:rsidR="00771309" w:rsidRPr="00E753FD">
        <w:rPr>
          <w:rFonts w:eastAsiaTheme="minorHAnsi"/>
          <w:lang w:val="ru-RU"/>
        </w:rPr>
        <w:t>динара)</w:t>
      </w:r>
      <w:r w:rsidR="00771309">
        <w:rPr>
          <w:rFonts w:eastAsiaTheme="minorHAnsi"/>
          <w:lang w:val="ru-RU"/>
        </w:rPr>
        <w:t>,</w:t>
      </w:r>
      <w:r w:rsidR="00771309" w:rsidRPr="00771309">
        <w:rPr>
          <w:rFonts w:eastAsiaTheme="minorHAnsi"/>
          <w:lang w:val="ru-RU"/>
        </w:rPr>
        <w:t xml:space="preserve"> </w:t>
      </w:r>
      <w:r w:rsidR="00771309" w:rsidRPr="00E753FD">
        <w:rPr>
          <w:rFonts w:eastAsiaTheme="minorHAnsi"/>
          <w:lang w:val="ru-RU"/>
        </w:rPr>
        <w:t>Нишу (</w:t>
      </w:r>
      <w:r w:rsidR="00771309">
        <w:rPr>
          <w:rFonts w:eastAsiaTheme="minorHAnsi"/>
          <w:lang w:val="ru-RU"/>
        </w:rPr>
        <w:t>6</w:t>
      </w:r>
      <w:r w:rsidR="00353B06">
        <w:rPr>
          <w:rFonts w:eastAsiaTheme="minorHAnsi"/>
        </w:rPr>
        <w:t>6.901</w:t>
      </w:r>
      <w:r w:rsidR="00771309" w:rsidRPr="00E753FD">
        <w:rPr>
          <w:rFonts w:eastAsiaTheme="minorHAnsi"/>
          <w:lang w:val="ru-RU"/>
        </w:rPr>
        <w:t xml:space="preserve">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CD081F">
        <w:rPr>
          <w:rFonts w:eastAsiaTheme="minorHAnsi"/>
          <w:lang w:val="ru-RU"/>
        </w:rPr>
        <w:t>Крагујевцу (6</w:t>
      </w:r>
      <w:r w:rsidR="00353B06">
        <w:rPr>
          <w:rFonts w:eastAsiaTheme="minorHAnsi"/>
        </w:rPr>
        <w:t>8.089</w:t>
      </w:r>
      <w:r w:rsidR="00CD081F">
        <w:rPr>
          <w:rFonts w:eastAsiaTheme="minorHAnsi"/>
          <w:lang w:val="ru-RU"/>
        </w:rPr>
        <w:t xml:space="preserve"> динара),</w:t>
      </w:r>
      <w:r w:rsidR="00D77508">
        <w:rPr>
          <w:rFonts w:eastAsiaTheme="minorHAnsi"/>
        </w:rPr>
        <w:t xml:space="preserve"> </w:t>
      </w:r>
      <w:r w:rsidR="00353B06">
        <w:rPr>
          <w:rFonts w:eastAsiaTheme="minorHAnsi"/>
          <w:lang w:val="ru-RU"/>
        </w:rPr>
        <w:t>Ужицу (65.572</w:t>
      </w:r>
      <w:r w:rsidR="00771309">
        <w:rPr>
          <w:rFonts w:eastAsiaTheme="minorHAnsi"/>
          <w:lang w:val="ru-RU"/>
        </w:rPr>
        <w:t xml:space="preserve">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AF4DF2" w:rsidRPr="00E753FD">
        <w:rPr>
          <w:rFonts w:eastAsiaTheme="minorHAnsi"/>
          <w:lang w:val="ru-RU"/>
        </w:rPr>
        <w:t>Зрењанину (</w:t>
      </w:r>
      <w:r w:rsidR="00AF4DF2">
        <w:rPr>
          <w:rFonts w:eastAsiaTheme="minorHAnsi"/>
          <w:lang w:val="ru-RU"/>
        </w:rPr>
        <w:t>6</w:t>
      </w:r>
      <w:r w:rsidR="00353B06">
        <w:rPr>
          <w:rFonts w:eastAsiaTheme="minorHAnsi"/>
        </w:rPr>
        <w:t>3.492</w:t>
      </w:r>
      <w:r w:rsidR="00AF4DF2">
        <w:rPr>
          <w:rFonts w:eastAsiaTheme="minorHAnsi"/>
          <w:lang w:val="ru-RU"/>
        </w:rPr>
        <w:t xml:space="preserve"> динара),</w:t>
      </w:r>
      <w:r w:rsidR="00ED303B">
        <w:rPr>
          <w:rFonts w:eastAsiaTheme="minorHAnsi"/>
          <w:lang w:val="ru-RU"/>
        </w:rPr>
        <w:t xml:space="preserve"> Смедереву (</w:t>
      </w:r>
      <w:r w:rsidR="00353B06">
        <w:rPr>
          <w:rFonts w:eastAsiaTheme="minorHAnsi"/>
        </w:rPr>
        <w:t>62.102</w:t>
      </w:r>
      <w:r w:rsidR="0024641D">
        <w:rPr>
          <w:rFonts w:eastAsiaTheme="minorHAnsi"/>
          <w:lang w:val="ru-RU"/>
        </w:rPr>
        <w:t xml:space="preserve"> динара)</w:t>
      </w:r>
      <w:r w:rsidR="0024641D" w:rsidRPr="00E753FD">
        <w:rPr>
          <w:rFonts w:eastAsiaTheme="minorHAnsi"/>
          <w:lang w:val="ru-RU"/>
        </w:rPr>
        <w:t>,</w:t>
      </w:r>
      <w:r w:rsidR="0024641D">
        <w:rPr>
          <w:rFonts w:eastAsiaTheme="minorHAnsi"/>
          <w:lang w:val="ru-RU"/>
        </w:rPr>
        <w:t xml:space="preserve"> </w:t>
      </w:r>
      <w:r w:rsidR="00885B83" w:rsidRPr="00E753FD">
        <w:rPr>
          <w:rFonts w:eastAsiaTheme="minorHAnsi"/>
          <w:lang w:val="ru-RU"/>
        </w:rPr>
        <w:t>Суботици (</w:t>
      </w:r>
      <w:r w:rsidR="00353B06">
        <w:rPr>
          <w:rFonts w:eastAsiaTheme="minorHAnsi"/>
        </w:rPr>
        <w:t>62.690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CD081F" w:rsidRPr="00E753FD">
        <w:rPr>
          <w:rFonts w:eastAsiaTheme="minorHAnsi"/>
          <w:lang w:val="ru-RU"/>
        </w:rPr>
        <w:t>Сремској Митровици (</w:t>
      </w:r>
      <w:r w:rsidR="00353B06">
        <w:rPr>
          <w:rFonts w:eastAsiaTheme="minorHAnsi"/>
          <w:lang w:val="ru-RU"/>
        </w:rPr>
        <w:t>63</w:t>
      </w:r>
      <w:r w:rsidR="00353B06">
        <w:rPr>
          <w:rFonts w:eastAsiaTheme="minorHAnsi"/>
        </w:rPr>
        <w:t>.</w:t>
      </w:r>
      <w:r w:rsidR="00353B06">
        <w:rPr>
          <w:rFonts w:eastAsiaTheme="minorHAnsi"/>
          <w:lang w:val="ru-RU"/>
        </w:rPr>
        <w:t>113</w:t>
      </w:r>
      <w:r w:rsidR="00CD081F" w:rsidRPr="00E753FD">
        <w:rPr>
          <w:rFonts w:eastAsiaTheme="minorHAnsi"/>
          <w:lang w:val="ru-RU"/>
        </w:rPr>
        <w:t xml:space="preserve"> динара),  </w:t>
      </w:r>
      <w:r w:rsidR="0024641D" w:rsidRPr="00E753FD">
        <w:rPr>
          <w:rFonts w:eastAsiaTheme="minorHAnsi"/>
          <w:lang w:val="ru-RU"/>
        </w:rPr>
        <w:t>Ваљеву (</w:t>
      </w:r>
      <w:r w:rsidR="00353B06">
        <w:rPr>
          <w:rFonts w:eastAsiaTheme="minorHAnsi"/>
        </w:rPr>
        <w:t>61.774</w:t>
      </w:r>
      <w:r w:rsidR="0024641D" w:rsidRPr="00E753FD">
        <w:rPr>
          <w:rFonts w:eastAsiaTheme="minorHAnsi"/>
          <w:lang w:val="ru-RU"/>
        </w:rPr>
        <w:t xml:space="preserve"> динара),</w:t>
      </w:r>
      <w:r w:rsidR="0024641D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Шапцу (</w:t>
      </w:r>
      <w:r w:rsidR="00FE0723">
        <w:rPr>
          <w:rFonts w:eastAsiaTheme="minorHAnsi"/>
          <w:lang w:val="ru-RU"/>
        </w:rPr>
        <w:t>60.519</w:t>
      </w:r>
      <w:r w:rsidR="0024641D" w:rsidRPr="00E753FD">
        <w:rPr>
          <w:rFonts w:eastAsiaTheme="minorHAnsi"/>
          <w:lang w:val="ru-RU"/>
        </w:rPr>
        <w:t xml:space="preserve"> динара)</w:t>
      </w:r>
      <w:r w:rsidR="0024641D">
        <w:rPr>
          <w:rFonts w:eastAsiaTheme="minorHAnsi"/>
          <w:lang w:val="ru-RU"/>
        </w:rPr>
        <w:t xml:space="preserve">, </w:t>
      </w:r>
      <w:r w:rsidR="0024641D" w:rsidRPr="00E753FD">
        <w:rPr>
          <w:rFonts w:eastAsiaTheme="minorHAnsi"/>
          <w:lang w:val="ru-RU"/>
        </w:rPr>
        <w:t>Зајечару (</w:t>
      </w:r>
      <w:r w:rsidR="00FE0723">
        <w:rPr>
          <w:rFonts w:eastAsiaTheme="minorHAnsi"/>
          <w:lang w:val="ru-RU"/>
        </w:rPr>
        <w:t>58.312</w:t>
      </w:r>
      <w:r w:rsidR="0024641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динара),</w:t>
      </w:r>
      <w:r w:rsidR="0024641D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FE0723">
        <w:rPr>
          <w:rFonts w:eastAsiaTheme="minorHAnsi"/>
          <w:lang w:val="ru-RU"/>
        </w:rPr>
        <w:t>58.430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ED303B">
        <w:rPr>
          <w:rFonts w:eastAsiaTheme="minorHAnsi"/>
          <w:lang w:val="ru-RU"/>
        </w:rPr>
        <w:t>5</w:t>
      </w:r>
      <w:r w:rsidR="00FE0723">
        <w:rPr>
          <w:rFonts w:eastAsiaTheme="minorHAnsi"/>
          <w:lang w:val="ru-RU"/>
        </w:rPr>
        <w:t>3.155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bookmarkEnd w:id="0"/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FC44B1">
        <w:rPr>
          <w:rFonts w:eastAsiaTheme="minorHAnsi"/>
          <w:lang w:val="sr-Cyrl-RS"/>
        </w:rPr>
        <w:t>у новембру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BA0BD4">
        <w:rPr>
          <w:rFonts w:eastAsiaTheme="minorHAnsi"/>
          <w:lang w:val="ru-RU"/>
        </w:rPr>
        <w:t>,</w:t>
      </w:r>
      <w:r w:rsidR="00FF460A">
        <w:rPr>
          <w:rFonts w:eastAsiaTheme="minorHAnsi"/>
          <w:lang w:val="ru-RU"/>
        </w:rPr>
        <w:t xml:space="preserve">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7E49B3">
        <w:rPr>
          <w:rFonts w:eastAsiaTheme="minorHAnsi"/>
          <w:lang w:val="ru-RU"/>
        </w:rPr>
        <w:t>, Ниш, Крагујевац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E49BC" w:rsidRDefault="00AE49BC" w:rsidP="00AE49BC">
            <w:pPr>
              <w:rPr>
                <w:lang w:val="sr-Cyrl-CS" w:eastAsia="sr-Latn-CS"/>
              </w:rPr>
            </w:pPr>
          </w:p>
          <w:p w:rsidR="00086137" w:rsidRDefault="00086137" w:rsidP="009233A2">
            <w:pPr>
              <w:rPr>
                <w:rFonts w:eastAsia="Calibri"/>
                <w:lang w:val="sr-Cyrl-RS"/>
              </w:rPr>
            </w:pPr>
          </w:p>
          <w:p w:rsidR="003C7986" w:rsidRDefault="003C7986" w:rsidP="009233A2">
            <w:pPr>
              <w:rPr>
                <w:rFonts w:eastAsia="Calibri"/>
              </w:rPr>
            </w:pPr>
            <w:bookmarkStart w:id="1" w:name="_GoBack"/>
            <w:bookmarkEnd w:id="1"/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Pr="00D4136B" w:rsidRDefault="00086137" w:rsidP="009233A2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365877" w:rsidRDefault="00365877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143FAA">
        <w:rPr>
          <w:b/>
          <w:bCs/>
          <w:lang w:val="sr-Cyrl-CS"/>
        </w:rPr>
        <w:t>НОВЕМБАР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6E56B0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476FE7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6E56B0" w:rsidRDefault="006E56B0" w:rsidP="007669EE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6E56B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AE723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lastRenderedPageBreak/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E56B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6E56B0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77.482,72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39.864,68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5427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78.226,14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40.282,81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476FE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476FE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935543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79.109,88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40.744,99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176276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79.865,34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41.238,43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276" w:rsidRDefault="00176276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</w:tbl>
    <w:p w:rsidR="00C81753" w:rsidRDefault="00C81753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Pr="0076502F" w:rsidRDefault="0076502F" w:rsidP="004A45E7">
      <w:pPr>
        <w:rPr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550B3E8B" wp14:editId="2B6B32D7">
            <wp:extent cx="6118860" cy="2583180"/>
            <wp:effectExtent l="0" t="0" r="1524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5646E2" w:rsidP="00201177">
      <w:pPr>
        <w:tabs>
          <w:tab w:val="left" w:pos="1860"/>
        </w:tabs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3CCA5781" wp14:editId="398BB4A6">
            <wp:extent cx="6111240" cy="3131820"/>
            <wp:effectExtent l="0" t="0" r="381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AE5161" w:rsidRDefault="00AE51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0C41C5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Новембар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0C41C5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87.181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8B5A88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83.597,24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4E7B02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</w:rPr>
              <w:t>858,91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114332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0,96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114332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0,55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F47E1F" w:rsidRDefault="000C41C5" w:rsidP="00646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80.903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F47E1F" w:rsidRDefault="008B5A88" w:rsidP="00646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88.902,65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F47E1F" w:rsidRDefault="004E7B02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789,53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14332" w:rsidRDefault="00114332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14332" w:rsidRDefault="00114332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4,92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0C41C5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69.136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8B5A88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79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</w:rPr>
              <w:t>865,34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4E7B02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</w:rPr>
              <w:t>238,43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14332" w:rsidRDefault="00114332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14332" w:rsidRDefault="00114332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EB314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600F6D" w:rsidRDefault="00EB3142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F47E1F" w:rsidRDefault="000C41C5" w:rsidP="00EA67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67.620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8B5A88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86.736,42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4E7B02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814,46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14332" w:rsidRDefault="00114332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14332" w:rsidRDefault="00114332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ED08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F47E1F" w:rsidRDefault="000C41C5" w:rsidP="00ED08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901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8B5A88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75.813,16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4E7B02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353,69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14332" w:rsidRDefault="00114332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14332" w:rsidRDefault="00114332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  <w:r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089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  <w:r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528,19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542,74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114332" w:rsidRDefault="0011433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1,08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114332" w:rsidRDefault="0011433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65.572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76.943,60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673,67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114332" w:rsidRDefault="0011433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303D08" w:rsidRDefault="00C17DD3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63.492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87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708,30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304,97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0,68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600F6D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62.102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</w:t>
            </w:r>
            <w:r w:rsidR="00AE136D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085,49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501,57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685497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690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85.653,08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258,86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0,67</w:t>
            </w:r>
          </w:p>
        </w:tc>
      </w:tr>
      <w:tr w:rsidR="00443D5E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63.113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82.841,37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975,67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0,65</w:t>
            </w:r>
          </w:p>
        </w:tc>
      </w:tr>
      <w:tr w:rsidR="00443D5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8B5A88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  <w:r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774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545,68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640,90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60.519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365627" w:rsidRDefault="00365627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77.011,76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251,97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0,66</w:t>
            </w:r>
          </w:p>
        </w:tc>
      </w:tr>
      <w:tr w:rsidR="00443D5E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58.312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365627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631,82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628,01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443D5E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8B5A88" w:rsidRDefault="008B5A88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58.430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73.382,05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E7B02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950,74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AE136D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0,65</w:t>
            </w:r>
          </w:p>
        </w:tc>
      </w:tr>
      <w:tr w:rsidR="00443D5E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8B5A88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53.155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E7B02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69</w:t>
            </w:r>
            <w:r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</w:rPr>
              <w:t>980,39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36.004,01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AE136D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1,32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AE136D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0,68</w:t>
            </w:r>
          </w:p>
        </w:tc>
      </w:tr>
    </w:tbl>
    <w:p w:rsidR="001C70C6" w:rsidRDefault="001C70C6" w:rsidP="001C70C6">
      <w:pPr>
        <w:tabs>
          <w:tab w:val="left" w:pos="2565"/>
        </w:tabs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157D5F">
        <w:rPr>
          <w:b/>
          <w:bCs/>
          <w:lang w:val="sr-Cyrl-CS"/>
        </w:rPr>
        <w:t xml:space="preserve">НОВЕМБРА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2" w:name="OLE_LINK1"/>
            <w:bookmarkStart w:id="3" w:name="OLE_LINK2"/>
            <w:r w:rsidRPr="004C375F">
              <w:rPr>
                <w:sz w:val="19"/>
                <w:szCs w:val="19"/>
              </w:rPr>
              <w:t>IV</w:t>
            </w:r>
            <w:bookmarkEnd w:id="2"/>
            <w:bookmarkEnd w:id="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4" w:name="OLE_LINK3"/>
            <w:bookmarkStart w:id="5" w:name="OLE_LINK4"/>
            <w:r w:rsidRPr="004C375F">
              <w:rPr>
                <w:sz w:val="19"/>
                <w:szCs w:val="19"/>
              </w:rPr>
              <w:t>V</w:t>
            </w:r>
            <w:bookmarkEnd w:id="4"/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5"/>
            <w:r w:rsidRPr="004C375F">
              <w:rPr>
                <w:sz w:val="19"/>
                <w:szCs w:val="19"/>
              </w:rPr>
              <w:t>VI</w:t>
            </w:r>
            <w:bookmarkEnd w:id="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7" w:name="OLE_LINK6"/>
            <w:bookmarkStart w:id="8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7"/>
            <w:bookmarkEnd w:id="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9" w:name="OLE_LINK8"/>
            <w:bookmarkStart w:id="10" w:name="OLE_LINK9"/>
            <w:r w:rsidRPr="004C375F">
              <w:rPr>
                <w:sz w:val="19"/>
                <w:szCs w:val="19"/>
              </w:rPr>
              <w:t>VIII</w:t>
            </w:r>
            <w:bookmarkEnd w:id="9"/>
            <w:bookmarkEnd w:id="1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1" w:name="OLE_LINK10"/>
            <w:bookmarkStart w:id="12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1"/>
            <w:bookmarkEnd w:id="1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3" w:name="OLE_LINK12"/>
            <w:bookmarkStart w:id="14" w:name="OLE_LINK13"/>
            <w:bookmarkStart w:id="15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3"/>
            <w:bookmarkEnd w:id="14"/>
            <w:bookmarkEnd w:id="1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6" w:name="OLE_LINK15"/>
            <w:bookmarkStart w:id="17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6"/>
            <w:bookmarkEnd w:id="1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8" w:name="OLE_LINK17"/>
            <w:bookmarkStart w:id="19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8"/>
            <w:bookmarkEnd w:id="1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0" w:name="OLE_LINK19"/>
            <w:bookmarkStart w:id="21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20"/>
            <w:bookmarkEnd w:id="2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2" w:name="OLE_LINK21"/>
            <w:bookmarkStart w:id="23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2"/>
            <w:bookmarkEnd w:id="2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  <w:tr w:rsidR="0063198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E25DE6" w:rsidRDefault="0063198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3,3</w:t>
            </w:r>
          </w:p>
        </w:tc>
      </w:tr>
      <w:tr w:rsidR="00421688" w:rsidRPr="005A5B1D" w:rsidTr="00490266">
        <w:trPr>
          <w:trHeight w:val="229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Pr="00E25DE6" w:rsidRDefault="0042168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421688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4,3</w:t>
            </w:r>
          </w:p>
        </w:tc>
      </w:tr>
      <w:tr w:rsidR="00EE511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25DE6" w:rsidRDefault="00EE511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E511A" w:rsidRDefault="00EE511A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5,7</w:t>
            </w:r>
          </w:p>
        </w:tc>
      </w:tr>
      <w:tr w:rsidR="00476FE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Pr="00E25DE6" w:rsidRDefault="00476FE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476FE7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6,6</w:t>
            </w:r>
          </w:p>
        </w:tc>
      </w:tr>
      <w:tr w:rsidR="003C3AE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E9" w:rsidRPr="00E25DE6" w:rsidRDefault="003C3AE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E9" w:rsidRPr="001B7656" w:rsidRDefault="003C3AE9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E9" w:rsidRDefault="001B765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E9" w:rsidRDefault="001B765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7,4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E9" w:rsidRDefault="001B765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7,5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BE24B8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Новембар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2131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30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4F6951">
              <w:rPr>
                <w:bCs/>
                <w:sz w:val="22"/>
                <w:szCs w:val="22"/>
              </w:rPr>
              <w:t>707,9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34507F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38,44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18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900,14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D5380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45,83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7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464,47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9,35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371,92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D5380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8,18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4F6951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3.025,44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3,79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182,25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2,87%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15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4F6951">
              <w:rPr>
                <w:bCs/>
                <w:sz w:val="22"/>
                <w:szCs w:val="22"/>
              </w:rPr>
              <w:t>770,74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19,75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7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915,53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D5380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19,19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4F6951">
              <w:rPr>
                <w:bCs/>
                <w:sz w:val="22"/>
                <w:szCs w:val="22"/>
              </w:rPr>
              <w:t>214,09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4,02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687,32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616F8C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4,09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4F6951">
              <w:rPr>
                <w:bCs/>
                <w:sz w:val="22"/>
                <w:szCs w:val="22"/>
              </w:rPr>
              <w:t>742,36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CB49F6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3,43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493,28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616F8C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3,62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4F6951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</w:rPr>
              <w:t>071,48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514EAC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7,60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351,15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5,70%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4F6951" w:rsidRDefault="004F6951" w:rsidP="00213112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2.114,13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514EAC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2,65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ED16E6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992,45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14743D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2,41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4F6951" w:rsidRDefault="004F6951" w:rsidP="00213112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4.874,32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514EAC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6,10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545,94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14743D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3,75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492,46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0,62%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12</w:t>
            </w:r>
            <w:r w:rsidR="00ED16E6">
              <w:rPr>
                <w:bCs/>
                <w:sz w:val="22"/>
                <w:szCs w:val="22"/>
              </w:rPr>
              <w:t>8,15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0,31%</w:t>
            </w:r>
          </w:p>
        </w:tc>
      </w:tr>
      <w:tr w:rsidR="00213112" w:rsidRPr="004C375F" w:rsidTr="00213112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A56575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904,22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1,13%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ED16E6" w:rsidP="00213112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301,83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0,73%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A56575">
              <w:rPr>
                <w:bCs/>
                <w:sz w:val="22"/>
                <w:szCs w:val="22"/>
              </w:rPr>
              <w:t>483,73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3,12%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="00ED16E6">
              <w:rPr>
                <w:bCs/>
                <w:sz w:val="22"/>
                <w:szCs w:val="22"/>
              </w:rPr>
              <w:t>368,47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14743D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3,32</w:t>
            </w:r>
            <w:r w:rsidR="00213112" w:rsidRPr="00213112">
              <w:rPr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213112" w:rsidRPr="00C8328F" w:rsidTr="00213112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C8328F" w:rsidRDefault="00213112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 w:rsidRPr="00213112">
              <w:rPr>
                <w:b/>
                <w:bCs/>
                <w:sz w:val="22"/>
                <w:szCs w:val="22"/>
              </w:rPr>
              <w:t>79</w:t>
            </w:r>
            <w:r w:rsidRPr="0021311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56575">
              <w:rPr>
                <w:b/>
                <w:bCs/>
                <w:sz w:val="22"/>
                <w:szCs w:val="22"/>
              </w:rPr>
              <w:t>865,34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13112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ED16E6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41.238,43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13112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 w:rsidR="000B33E4">
        <w:rPr>
          <w:noProof/>
        </w:rPr>
        <w:drawing>
          <wp:inline distT="0" distB="0" distL="0" distR="0" wp14:anchorId="5CA52995" wp14:editId="5545472F">
            <wp:extent cx="8849360" cy="4754245"/>
            <wp:effectExtent l="0" t="0" r="889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9660E99-9226-438E-89C8-2FA1BF80A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7C23B3" w:rsidRPr="007C23B3" w:rsidRDefault="00213112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DE2724B" wp14:editId="332FDF56">
            <wp:extent cx="8849360" cy="4754245"/>
            <wp:effectExtent l="0" t="0" r="8890" b="825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9660E99-9226-438E-89C8-2FA1BF80A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E2668E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Новембар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3D1" w:rsidRPr="00620474" w:rsidRDefault="00E2668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197</w:t>
            </w:r>
            <w:r w:rsidR="00935543" w:rsidRPr="00620474">
              <w:rPr>
                <w:lang w:val="sr-Cyrl-RS"/>
              </w:rPr>
              <w:t>,</w:t>
            </w:r>
            <w:r>
              <w:rPr>
                <w:lang w:val="sr-Cyrl-RS"/>
              </w:rPr>
              <w:t>25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38105F" w:rsidP="00EE7C49">
            <w:pPr>
              <w:jc w:val="center"/>
            </w:pPr>
            <w:r>
              <w:rPr>
                <w:lang w:val="sr-Cyrl-RS"/>
              </w:rPr>
              <w:t>29</w:t>
            </w:r>
            <w:r w:rsidR="00D30B05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85,24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578,86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 w:rsidR="00D30B05">
              <w:rPr>
                <w:lang w:val="sr-Cyrl-RS"/>
              </w:rPr>
              <w:t>2</w:t>
            </w:r>
            <w:r w:rsidR="0038105F">
              <w:rPr>
                <w:lang w:val="sr-Cyrl-RS"/>
              </w:rPr>
              <w:t>4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93,62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2F5E39">
              <w:rPr>
                <w:lang w:val="sr-Cyrl-RS"/>
              </w:rPr>
              <w:t>4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106,07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2F5E39">
              <w:rPr>
                <w:lang w:val="sr-Cyrl-RS"/>
              </w:rPr>
              <w:t>6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1.314,94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D30B05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</w:t>
            </w:r>
            <w:r w:rsidR="00903111">
              <w:rPr>
                <w:lang w:val="sr-Cyrl-RS"/>
              </w:rPr>
              <w:t>2</w:t>
            </w:r>
            <w:r w:rsidR="000C4062" w:rsidRPr="00D204E1">
              <w:t xml:space="preserve"> 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282B6B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1.155,26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F5E39" w:rsidP="00E706CD">
            <w:pPr>
              <w:jc w:val="center"/>
            </w:pPr>
            <w:r>
              <w:rPr>
                <w:lang w:val="sr-Cyrl-RS"/>
              </w:rPr>
              <w:t>2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903111">
              <w:rPr>
                <w:lang w:val="sr-Cyrl-RS"/>
              </w:rPr>
              <w:t>48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282B6B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77,83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0673" w:rsidP="00D30B05">
            <w:pPr>
              <w:jc w:val="center"/>
            </w:pPr>
            <w:r>
              <w:rPr>
                <w:lang w:val="sr-Cyrl-RS"/>
              </w:rPr>
              <w:t>1</w:t>
            </w:r>
            <w:r w:rsidR="002F5E39">
              <w:rPr>
                <w:lang w:val="sr-Cyrl-RS"/>
              </w:rPr>
              <w:t>2</w:t>
            </w:r>
            <w:r w:rsidR="008D6E5D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472A32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136,81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03111" w:rsidP="008D6E5D">
            <w:pPr>
              <w:jc w:val="center"/>
            </w:pPr>
            <w:r>
              <w:rPr>
                <w:lang w:val="sr-Cyrl-RS"/>
              </w:rPr>
              <w:t>20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472A32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67,15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F5E39" w:rsidP="00057BCE">
            <w:pPr>
              <w:jc w:val="center"/>
            </w:pPr>
            <w:r>
              <w:rPr>
                <w:lang w:val="sr-Cyrl-RS"/>
              </w:rPr>
              <w:t>10</w:t>
            </w:r>
            <w:r w:rsidR="00B73BF3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472A32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15,26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514028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31.041,39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2F5E39" w:rsidP="005A067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9E5DE2">
              <w:rPr>
                <w:lang w:val="sr-Cyrl-RS"/>
              </w:rPr>
              <w:t>5</w:t>
            </w:r>
            <w:r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  <w:r>
              <w:rPr>
                <w:lang w:val="sr-Cyrl-RS"/>
              </w:rPr>
              <w:t>ова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51402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21.043,88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2F5E39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2F5E39">
              <w:rPr>
                <w:lang w:val="sr-Cyrl-RS"/>
              </w:rPr>
              <w:t>4</w:t>
            </w:r>
            <w:r>
              <w:rPr>
                <w:lang w:val="sr-Cyrl-RS"/>
              </w:rPr>
              <w:t xml:space="preserve"> </w:t>
            </w:r>
            <w:r w:rsidR="000D4755">
              <w:t>час</w:t>
            </w:r>
            <w:r w:rsidR="002F5E39">
              <w:rPr>
                <w:lang w:val="sr-Cyrl-RS"/>
              </w:rPr>
              <w:t>а</w:t>
            </w:r>
          </w:p>
        </w:tc>
      </w:tr>
      <w:tr w:rsidR="00057BCE" w:rsidRPr="004C375F" w:rsidTr="002E5DC8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3D1" w:rsidRPr="00620474" w:rsidRDefault="00C346A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1.451.897</w:t>
            </w:r>
            <w:r w:rsidR="00935543" w:rsidRPr="00620474">
              <w:rPr>
                <w:lang w:val="sr-Cyrl-RS"/>
              </w:rPr>
              <w:t>,6</w:t>
            </w:r>
            <w:r>
              <w:rPr>
                <w:lang w:val="sr-Cyrl-RS"/>
              </w:rPr>
              <w:t>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CC2B3D" w:rsidRDefault="00CC2B3D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0C0779">
        <w:rPr>
          <w:rFonts w:eastAsia="Calibri"/>
          <w:bCs/>
          <w:i/>
          <w:sz w:val="22"/>
          <w:szCs w:val="22"/>
          <w:lang w:val="sr-Cyrl-RS"/>
        </w:rPr>
        <w:t>новембру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</w:t>
      </w:r>
      <w:r w:rsidR="002E5DC8">
        <w:rPr>
          <w:rFonts w:eastAsia="Calibri"/>
          <w:bCs/>
          <w:i/>
          <w:sz w:val="22"/>
          <w:szCs w:val="22"/>
          <w:lang w:val="sr-Cyrl-CS"/>
        </w:rPr>
        <w:t>1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9C4F32">
        <w:rPr>
          <w:rFonts w:eastAsia="Calibri"/>
          <w:bCs/>
          <w:i/>
          <w:sz w:val="22"/>
          <w:szCs w:val="22"/>
          <w:lang w:val="sr-Cyrl-CS"/>
        </w:rPr>
        <w:t>раднa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</w:t>
      </w:r>
      <w:r w:rsidR="002E5DC8">
        <w:rPr>
          <w:rFonts w:eastAsia="Calibri"/>
          <w:bCs/>
          <w:i/>
          <w:sz w:val="22"/>
          <w:szCs w:val="22"/>
          <w:lang w:val="sr-Cyrl-RS"/>
        </w:rPr>
        <w:t>68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EC07B8">
        <w:rPr>
          <w:rFonts w:eastAsia="Calibri"/>
          <w:bCs/>
          <w:i/>
          <w:sz w:val="22"/>
          <w:szCs w:val="22"/>
          <w:lang w:val="sr-Latn-RS"/>
        </w:rPr>
        <w:t>6</w:t>
      </w:r>
      <w:r w:rsidR="000C0779">
        <w:rPr>
          <w:rFonts w:eastAsia="Calibri"/>
          <w:bCs/>
          <w:i/>
          <w:sz w:val="22"/>
          <w:szCs w:val="22"/>
          <w:lang w:val="sr-Cyrl-RS"/>
        </w:rPr>
        <w:t>9.136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0C0779">
        <w:rPr>
          <w:rFonts w:eastAsia="Calibri"/>
          <w:bCs/>
          <w:i/>
          <w:sz w:val="22"/>
          <w:szCs w:val="22"/>
          <w:lang w:val="sr-Cyrl-RS"/>
        </w:rPr>
        <w:t>411,52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AF7419">
        <w:rPr>
          <w:i/>
          <w:sz w:val="22"/>
          <w:szCs w:val="22"/>
          <w:lang w:val="sr-Cyrl-CS"/>
        </w:rPr>
        <w:t>новембра</w:t>
      </w:r>
      <w:r w:rsidR="00E82993">
        <w:rPr>
          <w:i/>
          <w:sz w:val="22"/>
          <w:szCs w:val="22"/>
          <w:lang w:val="sr-Cyrl-CS"/>
        </w:rPr>
        <w:t xml:space="preserve">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AF7419">
        <w:rPr>
          <w:i/>
          <w:sz w:val="22"/>
          <w:szCs w:val="22"/>
          <w:lang w:val="sr-Cyrl-CS"/>
        </w:rPr>
        <w:t>новембра</w:t>
      </w:r>
      <w:r w:rsidR="00E82993">
        <w:rPr>
          <w:i/>
          <w:sz w:val="22"/>
          <w:szCs w:val="22"/>
          <w:lang w:val="sr-Cyrl-CS"/>
        </w:rPr>
        <w:t xml:space="preserve">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476FE7">
        <w:rPr>
          <w:b/>
          <w:bCs/>
          <w:lang w:val="sr-Cyrl-RS"/>
        </w:rPr>
        <w:t xml:space="preserve">СЕПТЕМБАР </w:t>
      </w:r>
      <w:r w:rsidR="004A45E7" w:rsidRPr="004C375F">
        <w:rPr>
          <w:b/>
          <w:bCs/>
          <w:lang w:val="sr-Cyrl-CS"/>
        </w:rPr>
        <w:t xml:space="preserve">2000.  – </w:t>
      </w:r>
      <w:r w:rsidR="003213D5">
        <w:rPr>
          <w:b/>
          <w:bCs/>
          <w:lang w:val="sr-Cyrl-CS"/>
        </w:rPr>
        <w:t>НОВЕМБАР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6E3169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6E3169" w:rsidRPr="004C375F" w:rsidRDefault="006E3169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6E3169" w:rsidRPr="004C375F" w:rsidRDefault="006E3169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6E3169" w:rsidRPr="004C375F" w:rsidRDefault="006E3169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6E3169" w:rsidRPr="006E3169" w:rsidRDefault="006E3169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Сеп</w:t>
            </w:r>
            <w:r>
              <w:rPr>
                <w:i/>
                <w:sz w:val="14"/>
                <w:szCs w:val="14"/>
                <w:lang w:val="sr-Cyrl-CS"/>
              </w:rPr>
              <w:t>тем.</w:t>
            </w:r>
          </w:p>
          <w:p w:rsidR="006E3169" w:rsidRPr="00E1403D" w:rsidRDefault="006E3169" w:rsidP="00CB5F87">
            <w:pPr>
              <w:jc w:val="center"/>
              <w:rPr>
                <w:i/>
                <w:sz w:val="18"/>
                <w:szCs w:val="18"/>
              </w:rPr>
            </w:pPr>
            <w:r w:rsidRPr="006E3169">
              <w:rPr>
                <w:i/>
                <w:sz w:val="14"/>
                <w:szCs w:val="14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9E72EE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Новембар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2021.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</w:t>
            </w:r>
            <w:r w:rsidR="009E72EE">
              <w:rPr>
                <w:sz w:val="20"/>
                <w:lang w:val="sr-Cyrl-CS"/>
              </w:rPr>
              <w:t>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</w:t>
            </w:r>
            <w:r w:rsidR="009E72EE">
              <w:rPr>
                <w:sz w:val="20"/>
                <w:lang w:val="sr-Cyrl-CS"/>
              </w:rPr>
              <w:t>6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7012C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</w:t>
            </w:r>
            <w:r w:rsidR="003A2CB4">
              <w:rPr>
                <w:b/>
                <w:sz w:val="20"/>
                <w:szCs w:val="20"/>
                <w:lang w:val="sr-Cyrl-RS"/>
              </w:rPr>
              <w:t>4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</w:t>
            </w:r>
            <w:r w:rsidR="009E72EE">
              <w:rPr>
                <w:sz w:val="20"/>
                <w:lang w:val="sr-Cyrl-CS"/>
              </w:rPr>
              <w:t>5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4767B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</w:t>
            </w:r>
            <w:r w:rsidR="003A2CB4">
              <w:rPr>
                <w:b/>
                <w:sz w:val="20"/>
                <w:szCs w:val="20"/>
                <w:lang w:val="sr-Cyrl-RS"/>
              </w:rPr>
              <w:t>3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</w:t>
            </w:r>
            <w:r w:rsidR="0019245C">
              <w:rPr>
                <w:b/>
                <w:sz w:val="20"/>
                <w:szCs w:val="20"/>
                <w:lang w:val="sr-Cyrl-RS"/>
              </w:rPr>
              <w:t>4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RS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884884" w:rsidRPr="008B73A5" w:rsidRDefault="00884884" w:rsidP="00884884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9E72EE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24,0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</w:t>
            </w:r>
            <w:r w:rsidR="009E72EE">
              <w:rPr>
                <w:sz w:val="20"/>
                <w:lang w:val="sr-Cyrl-CS"/>
              </w:rPr>
              <w:t>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</w:t>
            </w:r>
            <w:r w:rsidR="009E72EE">
              <w:rPr>
                <w:sz w:val="20"/>
                <w:lang w:val="sr-Cyrl-CS"/>
              </w:rPr>
              <w:t>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</w:t>
            </w:r>
            <w:r w:rsidR="009E72EE">
              <w:rPr>
                <w:sz w:val="20"/>
                <w:lang w:val="sr-Cyrl-CS"/>
              </w:rPr>
              <w:t>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97AB8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29,3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4767B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28,0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7012C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25,9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884884" w:rsidRDefault="009E72EE" w:rsidP="00884884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24,4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21,</w:t>
            </w:r>
            <w:r w:rsidR="0019245C">
              <w:rPr>
                <w:b/>
                <w:sz w:val="20"/>
                <w:szCs w:val="20"/>
                <w:lang w:val="sr-Cyrl-RS"/>
              </w:rPr>
              <w:t>0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6E3169" w:rsidRPr="004C375F" w:rsidTr="001A6894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6E3169" w:rsidRPr="004C375F" w:rsidRDefault="006E3169" w:rsidP="006E316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6E3169" w:rsidRPr="004C375F" w:rsidRDefault="006E3169" w:rsidP="006E3169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6E3169" w:rsidRPr="004C375F" w:rsidRDefault="006E3169" w:rsidP="006E316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Сеп</w:t>
            </w:r>
            <w:r>
              <w:rPr>
                <w:i/>
                <w:sz w:val="14"/>
                <w:szCs w:val="14"/>
                <w:lang w:val="sr-Cyrl-CS"/>
              </w:rPr>
              <w:t>тем.</w:t>
            </w:r>
          </w:p>
          <w:p w:rsidR="006E3169" w:rsidRPr="00E1403D" w:rsidRDefault="006E3169" w:rsidP="006E3169">
            <w:pPr>
              <w:jc w:val="center"/>
              <w:rPr>
                <w:i/>
                <w:sz w:val="18"/>
                <w:szCs w:val="18"/>
              </w:rPr>
            </w:pPr>
            <w:r w:rsidRPr="006E3169">
              <w:rPr>
                <w:i/>
                <w:sz w:val="14"/>
                <w:szCs w:val="14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1031BA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>
              <w:rPr>
                <w:i/>
                <w:sz w:val="14"/>
                <w:szCs w:val="14"/>
                <w:lang w:val="sr-Cyrl-CS"/>
              </w:rPr>
              <w:t>Нов.</w:t>
            </w:r>
            <w:r w:rsidR="006E3169" w:rsidRPr="006E3169">
              <w:rPr>
                <w:i/>
                <w:sz w:val="14"/>
                <w:szCs w:val="14"/>
                <w:lang w:val="sr-Cyrl-CS"/>
              </w:rPr>
              <w:t xml:space="preserve">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2021.</w:t>
            </w:r>
          </w:p>
        </w:tc>
      </w:tr>
      <w:tr w:rsidR="006E3169" w:rsidRPr="004C375F" w:rsidTr="001A6894">
        <w:trPr>
          <w:jc w:val="center"/>
        </w:trPr>
        <w:tc>
          <w:tcPr>
            <w:tcW w:w="501" w:type="dxa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6E3169" w:rsidRPr="0074101C" w:rsidRDefault="006E3169" w:rsidP="006E3169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6E3169" w:rsidRPr="004A62B6" w:rsidRDefault="006E3169" w:rsidP="006E3169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337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398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332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348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439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480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419</w:t>
            </w:r>
          </w:p>
        </w:tc>
        <w:tc>
          <w:tcPr>
            <w:tcW w:w="803" w:type="dxa"/>
          </w:tcPr>
          <w:p w:rsidR="00884884" w:rsidRPr="00D30B05" w:rsidRDefault="00206046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350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706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595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511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587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842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766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853</w:t>
            </w:r>
          </w:p>
        </w:tc>
        <w:tc>
          <w:tcPr>
            <w:tcW w:w="803" w:type="dxa"/>
          </w:tcPr>
          <w:p w:rsidR="00884884" w:rsidRPr="00D30B05" w:rsidRDefault="00206046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811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102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103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110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128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115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135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119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538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526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521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531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570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637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675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738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459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447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454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480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560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588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652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40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47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51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53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1.073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1.055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1.001</w:t>
            </w:r>
          </w:p>
        </w:tc>
        <w:tc>
          <w:tcPr>
            <w:tcW w:w="803" w:type="dxa"/>
          </w:tcPr>
          <w:p w:rsidR="00884884" w:rsidRPr="004D29DF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1.010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1.059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1.101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1.297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1.421</w:t>
            </w:r>
          </w:p>
        </w:tc>
        <w:tc>
          <w:tcPr>
            <w:tcW w:w="803" w:type="dxa"/>
          </w:tcPr>
          <w:p w:rsidR="00884884" w:rsidRPr="00D30B05" w:rsidRDefault="00DB1BD6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EF003D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586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41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53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56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60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957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1.008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844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1.059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870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796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1.042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1.208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888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2.504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1.056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1.143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1.903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1.365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1.737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1.870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2.021</w:t>
            </w:r>
          </w:p>
        </w:tc>
        <w:tc>
          <w:tcPr>
            <w:tcW w:w="803" w:type="dxa"/>
          </w:tcPr>
          <w:p w:rsidR="00884884" w:rsidRPr="00D30B05" w:rsidRDefault="00310F74" w:rsidP="00310F74">
            <w:pPr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 xml:space="preserve">   945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367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283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265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305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298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444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383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478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505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3.584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3.015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3.665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3.559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3.574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3.871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4.228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4.516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4.530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897</w:t>
            </w:r>
          </w:p>
        </w:tc>
        <w:tc>
          <w:tcPr>
            <w:tcW w:w="803" w:type="dxa"/>
            <w:vAlign w:val="center"/>
          </w:tcPr>
          <w:p w:rsidR="00884884" w:rsidRPr="00192ABB" w:rsidRDefault="001031BA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828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842</w:t>
            </w:r>
          </w:p>
        </w:tc>
        <w:tc>
          <w:tcPr>
            <w:tcW w:w="803" w:type="dxa"/>
          </w:tcPr>
          <w:p w:rsidR="00884884" w:rsidRPr="00192ABB" w:rsidRDefault="001031BA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913</w:t>
            </w:r>
          </w:p>
        </w:tc>
        <w:tc>
          <w:tcPr>
            <w:tcW w:w="803" w:type="dxa"/>
          </w:tcPr>
          <w:p w:rsidR="00884884" w:rsidRPr="00D97AB8" w:rsidRDefault="001031BA" w:rsidP="00884884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946</w:t>
            </w:r>
          </w:p>
        </w:tc>
        <w:tc>
          <w:tcPr>
            <w:tcW w:w="803" w:type="dxa"/>
          </w:tcPr>
          <w:p w:rsidR="00884884" w:rsidRPr="002C7026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1.012</w:t>
            </w:r>
          </w:p>
        </w:tc>
        <w:tc>
          <w:tcPr>
            <w:tcW w:w="803" w:type="dxa"/>
          </w:tcPr>
          <w:p w:rsidR="00884884" w:rsidRPr="00D7012C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1.012</w:t>
            </w:r>
          </w:p>
        </w:tc>
        <w:tc>
          <w:tcPr>
            <w:tcW w:w="803" w:type="dxa"/>
          </w:tcPr>
          <w:p w:rsidR="00884884" w:rsidRPr="00884884" w:rsidRDefault="001031BA" w:rsidP="00884884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1.098</w:t>
            </w:r>
          </w:p>
        </w:tc>
        <w:tc>
          <w:tcPr>
            <w:tcW w:w="803" w:type="dxa"/>
          </w:tcPr>
          <w:p w:rsidR="00884884" w:rsidRPr="00D30B05" w:rsidRDefault="00310F74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1.029</w:t>
            </w: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="006E3169">
        <w:rPr>
          <w:rFonts w:eastAsia="Calibri"/>
          <w:b/>
          <w:i/>
          <w:iCs/>
          <w:sz w:val="20"/>
          <w:szCs w:val="20"/>
          <w:lang w:val="sr-Cyrl-CS"/>
        </w:rPr>
        <w:t xml:space="preserve"> 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4"/>
        <w:gridCol w:w="1200"/>
        <w:gridCol w:w="13"/>
        <w:gridCol w:w="63"/>
        <w:gridCol w:w="13"/>
      </w:tblGrid>
      <w:tr w:rsidR="00DB25F8" w:rsidRPr="009B5242" w:rsidTr="004C2768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4C2768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4C2768">
        <w:trPr>
          <w:trHeight w:val="585"/>
        </w:trPr>
        <w:tc>
          <w:tcPr>
            <w:tcW w:w="95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B00501">
              <w:rPr>
                <w:b/>
                <w:bCs/>
                <w:sz w:val="22"/>
                <w:szCs w:val="22"/>
                <w:lang w:val="sr-Cyrl-CS"/>
              </w:rPr>
              <w:t>новембар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4C2768">
        <w:trPr>
          <w:gridAfter w:val="1"/>
          <w:wAfter w:w="13" w:type="dxa"/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4C2768">
        <w:trPr>
          <w:gridAfter w:val="1"/>
          <w:wAfter w:w="13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F64119" w:rsidRPr="002650FF" w:rsidTr="004C2768">
        <w:trPr>
          <w:gridAfter w:val="1"/>
          <w:wAfter w:w="13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30</w:t>
            </w:r>
            <w:r w:rsidR="00B86948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B86948">
              <w:rPr>
                <w:b/>
                <w:bCs/>
                <w:sz w:val="22"/>
                <w:szCs w:val="22"/>
              </w:rPr>
              <w:t>707,90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B86948">
              <w:rPr>
                <w:b/>
                <w:bCs/>
                <w:sz w:val="22"/>
                <w:szCs w:val="22"/>
              </w:rPr>
              <w:t>563,45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213,91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213.91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97,56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B86948">
              <w:rPr>
                <w:sz w:val="22"/>
                <w:szCs w:val="22"/>
              </w:rPr>
              <w:t>419,57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207,03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331,25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B86948" w:rsidRDefault="00B86948" w:rsidP="00F64119">
            <w:pPr>
              <w:jc w:val="right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464</w:t>
            </w:r>
            <w:r>
              <w:rPr>
                <w:sz w:val="22"/>
                <w:szCs w:val="22"/>
                <w:lang w:val="sr-Cyrl-RS"/>
              </w:rPr>
              <w:t>,60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232,30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833,86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375,23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166,10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166,10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253,98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380,97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67,15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302,18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202,77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869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141,94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E977F8">
              <w:rPr>
                <w:b/>
                <w:bCs/>
                <w:sz w:val="22"/>
                <w:szCs w:val="22"/>
              </w:rPr>
              <w:t>558,23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145,36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116,68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E977F8" w:rsidRDefault="00E977F8" w:rsidP="00F64119">
            <w:pPr>
              <w:jc w:val="right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246,4</w:t>
            </w:r>
            <w:r>
              <w:rPr>
                <w:sz w:val="22"/>
                <w:szCs w:val="22"/>
                <w:lang w:val="sr-Cyrl-RS"/>
              </w:rPr>
              <w:t>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418,87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73,19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322,05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156,13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671,35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301,07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451,60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291,23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232,98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274,25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219,40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74,21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118,73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75,56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151,12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55,18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154,49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288,61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144,30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272,63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545,26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77,83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E977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C2768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</w:rPr>
              <w:t>011,78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C2768">
              <w:rPr>
                <w:b/>
                <w:bCs/>
                <w:sz w:val="22"/>
                <w:szCs w:val="22"/>
              </w:rPr>
              <w:t>718,06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4C276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136,81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4C276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68,40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171,32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222,72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143,72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215,58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92,64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787,46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2A7226">
              <w:rPr>
                <w:sz w:val="22"/>
                <w:szCs w:val="22"/>
              </w:rPr>
              <w:t>107,61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332,28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916,17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2A7226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91,62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8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D41C48">
              <w:rPr>
                <w:b/>
                <w:bCs/>
                <w:sz w:val="22"/>
                <w:szCs w:val="22"/>
              </w:rPr>
              <w:t>560,32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Октобар</w:t>
            </w:r>
            <w:r w:rsidRPr="009307F7">
              <w:rPr>
                <w:sz w:val="22"/>
                <w:szCs w:val="22"/>
              </w:rPr>
              <w:t>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807,25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565,07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578,86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D41C48">
              <w:rPr>
                <w:sz w:val="22"/>
                <w:szCs w:val="22"/>
              </w:rPr>
              <w:t>315,44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302,23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4A608E">
              <w:rPr>
                <w:sz w:val="22"/>
                <w:szCs w:val="22"/>
              </w:rPr>
              <w:t>3</w:t>
            </w:r>
            <w:r w:rsidR="00D41C48">
              <w:rPr>
                <w:sz w:val="22"/>
                <w:szCs w:val="22"/>
              </w:rPr>
              <w:t>60,02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183,33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36,67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565,55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226,22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985,15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295,55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806,15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403,07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D41C48">
              <w:rPr>
                <w:sz w:val="22"/>
                <w:szCs w:val="22"/>
              </w:rPr>
              <w:t>270,12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D41C48">
              <w:rPr>
                <w:sz w:val="22"/>
                <w:szCs w:val="22"/>
              </w:rPr>
              <w:t>270,12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616,43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277,39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904,57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180,91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913,16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E44857">
              <w:rPr>
                <w:sz w:val="22"/>
                <w:szCs w:val="22"/>
              </w:rPr>
              <w:t>2</w:t>
            </w:r>
            <w:r w:rsidR="00D41C48">
              <w:rPr>
                <w:sz w:val="22"/>
                <w:szCs w:val="22"/>
              </w:rPr>
              <w:t>78,43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</w:t>
            </w:r>
            <w:r w:rsidR="00D41C48">
              <w:rPr>
                <w:sz w:val="22"/>
                <w:szCs w:val="22"/>
              </w:rPr>
              <w:t>78,55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351,42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710,53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448,91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501,52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D41C48">
              <w:rPr>
                <w:sz w:val="22"/>
                <w:szCs w:val="22"/>
              </w:rPr>
              <w:t>045,02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209,00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D41C48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873,74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282,16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141,08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197,25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591,74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201,31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3641B1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140,92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5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9B48F8">
              <w:rPr>
                <w:b/>
                <w:bCs/>
                <w:sz w:val="22"/>
                <w:szCs w:val="22"/>
              </w:rPr>
              <w:t>204,02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93,62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9B48F8">
              <w:rPr>
                <w:sz w:val="22"/>
                <w:szCs w:val="22"/>
              </w:rPr>
              <w:t>263,91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98,18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9B48F8" w:rsidRDefault="009B48F8" w:rsidP="00F64119">
            <w:pPr>
              <w:jc w:val="right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294,54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106,07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689,47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412,15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9B48F8">
              <w:rPr>
                <w:sz w:val="22"/>
                <w:szCs w:val="22"/>
              </w:rPr>
              <w:t>236,44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981,89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294,57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9B48F8">
              <w:rPr>
                <w:sz w:val="22"/>
                <w:szCs w:val="22"/>
              </w:rPr>
              <w:t>010,88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303,26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267,33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160,4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15,26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9B48F8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961,41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2.044,25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85,24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298,34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941,58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188,32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267,07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227,01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967,63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96,76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BE6EDD">
              <w:rPr>
                <w:sz w:val="22"/>
                <w:szCs w:val="22"/>
              </w:rPr>
              <w:t>155,26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231,05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658,23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E6EDD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131,65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687,17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206,15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204,19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51,05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79,5</w:t>
            </w:r>
            <w:r w:rsidR="00F64119" w:rsidRPr="0080027F"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31,80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471,66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70,75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46,95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BD4112">
              <w:rPr>
                <w:sz w:val="22"/>
                <w:szCs w:val="22"/>
              </w:rPr>
              <w:t>563,42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234,51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393,44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118,03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48,25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BD411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144,75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D51B2">
              <w:rPr>
                <w:b/>
                <w:bCs/>
                <w:sz w:val="22"/>
                <w:szCs w:val="22"/>
              </w:rPr>
              <w:t>475,32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AD51B2">
              <w:rPr>
                <w:sz w:val="22"/>
                <w:szCs w:val="22"/>
              </w:rPr>
              <w:t>314,94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="00AD51B2">
              <w:rPr>
                <w:sz w:val="22"/>
                <w:szCs w:val="22"/>
              </w:rPr>
              <w:t>314,94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AD51B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53,88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AD51B2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53,88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29,0</w:t>
            </w:r>
            <w:r w:rsidR="001D5F6A">
              <w:rPr>
                <w:sz w:val="22"/>
                <w:szCs w:val="22"/>
              </w:rPr>
              <w:t>7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203,49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64126A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66,25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463,74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113,45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226,90</w:t>
            </w:r>
          </w:p>
        </w:tc>
      </w:tr>
      <w:tr w:rsidR="00F64119" w:rsidRPr="002650FF" w:rsidTr="004C2768">
        <w:trPr>
          <w:gridAfter w:val="1"/>
          <w:wAfter w:w="13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106,18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212,37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30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707,90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464,47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3.025,44</w:t>
            </w:r>
          </w:p>
        </w:tc>
      </w:tr>
      <w:tr w:rsidR="00F64119" w:rsidRPr="002650FF" w:rsidTr="004C2768">
        <w:trPr>
          <w:gridAfter w:val="1"/>
          <w:wAfter w:w="13" w:type="dxa"/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15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770,74</w:t>
            </w:r>
          </w:p>
        </w:tc>
      </w:tr>
      <w:tr w:rsidR="00F64119" w:rsidRPr="002650FF" w:rsidTr="004C2768">
        <w:trPr>
          <w:gridAfter w:val="1"/>
          <w:wAfter w:w="13" w:type="dxa"/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214,09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lef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742,36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</w:rPr>
              <w:t>071,48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114,13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874,32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492,46</w:t>
            </w:r>
          </w:p>
        </w:tc>
      </w:tr>
      <w:tr w:rsidR="00F64119" w:rsidRPr="002650FF" w:rsidTr="004C2768">
        <w:trPr>
          <w:gridAfter w:val="1"/>
          <w:wAfter w:w="13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1D5F6A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904,22</w:t>
            </w:r>
          </w:p>
        </w:tc>
      </w:tr>
      <w:tr w:rsidR="00F64119" w:rsidRPr="002650FF" w:rsidTr="004C2768">
        <w:trPr>
          <w:gridAfter w:val="1"/>
          <w:wAfter w:w="13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483,73</w:t>
            </w:r>
          </w:p>
        </w:tc>
      </w:tr>
      <w:tr w:rsidR="00F64119" w:rsidRPr="002650FF" w:rsidTr="004C2768">
        <w:trPr>
          <w:gridAfter w:val="1"/>
          <w:wAfter w:w="13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79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1D5F6A">
              <w:rPr>
                <w:b/>
                <w:bCs/>
                <w:sz w:val="22"/>
                <w:szCs w:val="22"/>
              </w:rPr>
              <w:t>865,34</w:t>
            </w:r>
          </w:p>
        </w:tc>
      </w:tr>
      <w:tr w:rsidR="00F64119" w:rsidRPr="00153719" w:rsidTr="004C2768">
        <w:trPr>
          <w:gridAfter w:val="2"/>
          <w:wAfter w:w="76" w:type="dxa"/>
          <w:trHeight w:val="615"/>
        </w:trPr>
        <w:tc>
          <w:tcPr>
            <w:tcW w:w="94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64119" w:rsidRPr="00B129E9" w:rsidRDefault="00F64119" w:rsidP="00F64119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 w:rsidR="00B00501">
              <w:rPr>
                <w:b/>
                <w:bCs/>
                <w:sz w:val="22"/>
                <w:szCs w:val="22"/>
              </w:rPr>
              <w:t>новембар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F64119" w:rsidRPr="00832994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64119" w:rsidRPr="00BB3843" w:rsidRDefault="00F64119" w:rsidP="00F64119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F64119" w:rsidRPr="009307F7" w:rsidTr="004C2768">
        <w:trPr>
          <w:gridAfter w:val="3"/>
          <w:wAfter w:w="89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19" w:rsidRPr="003F4473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19" w:rsidRPr="003F4473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E54D86" w:rsidRPr="00EB3142" w:rsidTr="004C2768">
        <w:trPr>
          <w:gridAfter w:val="3"/>
          <w:wAfter w:w="89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18</w:t>
            </w:r>
            <w:r w:rsidR="00087E4A">
              <w:rPr>
                <w:b/>
                <w:bCs/>
                <w:sz w:val="22"/>
                <w:szCs w:val="22"/>
                <w:lang w:val="sr-Cyrl-RS"/>
              </w:rPr>
              <w:t>.900,14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087E4A">
              <w:rPr>
                <w:b/>
                <w:bCs/>
                <w:sz w:val="22"/>
                <w:szCs w:val="22"/>
              </w:rPr>
              <w:t>614,31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213,91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213,91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97,56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2.146,40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207,03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517,57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833,86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166,77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166,10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67,15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302,18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087E4A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101,38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BD5131">
              <w:rPr>
                <w:b/>
                <w:bCs/>
                <w:sz w:val="22"/>
                <w:szCs w:val="22"/>
              </w:rPr>
              <w:t>957,62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72,68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402,56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246,4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369,59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75,56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218,58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451,60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203,86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137,12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74,21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59,37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110,35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272,63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BD5131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583,72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897,23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27,36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171,32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143,72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463,21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916,17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91,62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93E77">
              <w:rPr>
                <w:b/>
                <w:bCs/>
                <w:sz w:val="22"/>
                <w:szCs w:val="22"/>
              </w:rPr>
              <w:t>361,70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322,90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1A7AFC">
              <w:rPr>
                <w:sz w:val="22"/>
                <w:szCs w:val="22"/>
                <w:lang w:val="sr-Cyrl-RS"/>
              </w:rPr>
              <w:t>.</w:t>
            </w:r>
            <w:r w:rsidR="00793E77">
              <w:rPr>
                <w:sz w:val="22"/>
                <w:szCs w:val="22"/>
              </w:rPr>
              <w:t>041,95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846,24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36,67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169,67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806,15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241,84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="00793E77">
              <w:rPr>
                <w:sz w:val="22"/>
                <w:szCs w:val="22"/>
              </w:rPr>
              <w:t>270,12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254,02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479,43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239,71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616,43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123,29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913,16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821,85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878,55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263,56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93E77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358,59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227,97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="00E33F3E">
              <w:rPr>
                <w:sz w:val="22"/>
                <w:szCs w:val="22"/>
              </w:rPr>
              <w:t>045,02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130,63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777,04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282,16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84,65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591,74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100,66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E33F3E">
              <w:rPr>
                <w:b/>
                <w:bCs/>
                <w:sz w:val="22"/>
                <w:szCs w:val="22"/>
              </w:rPr>
              <w:t>469,57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1A7AFC">
              <w:rPr>
                <w:sz w:val="22"/>
                <w:szCs w:val="22"/>
                <w:lang w:val="sr-Cyrl-RS"/>
              </w:rPr>
              <w:t>.</w:t>
            </w:r>
            <w:r w:rsidR="00E33F3E">
              <w:rPr>
                <w:sz w:val="22"/>
                <w:szCs w:val="22"/>
              </w:rPr>
              <w:t>217,10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318,22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412,15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824,30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981,89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</w:t>
            </w:r>
            <w:r w:rsidR="00E33F3E">
              <w:rPr>
                <w:sz w:val="22"/>
                <w:szCs w:val="22"/>
              </w:rPr>
              <w:t>94,57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82,87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732,51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E33F3E">
              <w:rPr>
                <w:b/>
                <w:bCs/>
                <w:sz w:val="22"/>
                <w:szCs w:val="22"/>
              </w:rPr>
              <w:t>096,47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213,10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160,24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="00E33F3E">
              <w:rPr>
                <w:sz w:val="22"/>
                <w:szCs w:val="22"/>
              </w:rPr>
              <w:t>155,26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231,05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658,23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65,82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687,17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103,08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40,84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15,90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46,95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11,74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="00E33F3E">
              <w:rPr>
                <w:sz w:val="22"/>
                <w:szCs w:val="22"/>
              </w:rPr>
              <w:t>563,42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156,34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383,44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33F3E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98,36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E33F3E">
              <w:rPr>
                <w:b/>
                <w:bCs/>
                <w:sz w:val="22"/>
                <w:szCs w:val="22"/>
              </w:rPr>
              <w:t>367,61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="007A7E7D">
              <w:rPr>
                <w:sz w:val="22"/>
                <w:szCs w:val="22"/>
              </w:rPr>
              <w:t>314,94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788,97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87,21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165,62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113,45</w:t>
            </w:r>
          </w:p>
        </w:tc>
      </w:tr>
      <w:tr w:rsidR="00E54D86" w:rsidRPr="00EB3142" w:rsidTr="004C2768">
        <w:trPr>
          <w:gridAfter w:val="3"/>
          <w:wAfter w:w="89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212,37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18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900,14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371,92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182,25</w:t>
            </w:r>
          </w:p>
        </w:tc>
      </w:tr>
      <w:tr w:rsidR="00E54D86" w:rsidRPr="00EB3142" w:rsidTr="004C2768">
        <w:trPr>
          <w:gridAfter w:val="3"/>
          <w:wAfter w:w="89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915,53</w:t>
            </w:r>
          </w:p>
        </w:tc>
      </w:tr>
      <w:tr w:rsidR="00E54D86" w:rsidRPr="00EB3142" w:rsidTr="004C2768">
        <w:trPr>
          <w:gridAfter w:val="3"/>
          <w:wAfter w:w="89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687,32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493,28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351,15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992,45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545,94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128,15</w:t>
            </w:r>
          </w:p>
        </w:tc>
      </w:tr>
      <w:tr w:rsidR="00E54D86" w:rsidRPr="00EB3142" w:rsidTr="004C2768">
        <w:trPr>
          <w:gridAfter w:val="3"/>
          <w:wAfter w:w="89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301,83</w:t>
            </w:r>
          </w:p>
        </w:tc>
      </w:tr>
      <w:tr w:rsidR="00E54D86" w:rsidRPr="00EB3142" w:rsidTr="004C2768">
        <w:trPr>
          <w:gridAfter w:val="3"/>
          <w:wAfter w:w="89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7A7E7D">
              <w:rPr>
                <w:b/>
                <w:bCs/>
                <w:sz w:val="22"/>
                <w:szCs w:val="22"/>
              </w:rPr>
              <w:t>3668,47</w:t>
            </w:r>
          </w:p>
        </w:tc>
      </w:tr>
      <w:tr w:rsidR="00E54D86" w:rsidRPr="00EB3142" w:rsidTr="004C2768">
        <w:trPr>
          <w:gridAfter w:val="3"/>
          <w:wAfter w:w="89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7A7E7D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41.238,43</w:t>
            </w:r>
          </w:p>
        </w:tc>
      </w:tr>
    </w:tbl>
    <w:p w:rsidR="004A45E7" w:rsidRPr="009307F7" w:rsidRDefault="003F0236" w:rsidP="000064C0">
      <w:pPr>
        <w:rPr>
          <w:bCs/>
          <w:i/>
          <w:iCs/>
          <w:sz w:val="22"/>
          <w:szCs w:val="22"/>
          <w:lang w:val="sr-Cyrl-CS"/>
        </w:rPr>
      </w:pPr>
      <w:r>
        <w:rPr>
          <w:bCs/>
          <w:i/>
          <w:iCs/>
          <w:sz w:val="22"/>
          <w:szCs w:val="22"/>
          <w:lang w:val="sr-Cyrl-CS"/>
        </w:rPr>
        <w:t>.</w:t>
      </w: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26" w:rsidRDefault="00671026">
      <w:r>
        <w:separator/>
      </w:r>
    </w:p>
  </w:endnote>
  <w:endnote w:type="continuationSeparator" w:id="0">
    <w:p w:rsidR="00671026" w:rsidRDefault="0067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26" w:rsidRDefault="00671026">
      <w:r>
        <w:separator/>
      </w:r>
    </w:p>
  </w:footnote>
  <w:footnote w:type="continuationSeparator" w:id="0">
    <w:p w:rsidR="00671026" w:rsidRDefault="0067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768" w:rsidRDefault="004C2768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4C2768" w:rsidRDefault="004C2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768" w:rsidRDefault="004C2768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986">
      <w:rPr>
        <w:rStyle w:val="PageNumber"/>
        <w:noProof/>
      </w:rPr>
      <w:t>21</w:t>
    </w:r>
    <w:r>
      <w:rPr>
        <w:rStyle w:val="PageNumber"/>
      </w:rPr>
      <w:fldChar w:fldCharType="end"/>
    </w:r>
  </w:p>
  <w:p w:rsidR="004C2768" w:rsidRDefault="004C2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17DEF"/>
    <w:rsid w:val="00020490"/>
    <w:rsid w:val="00020F56"/>
    <w:rsid w:val="0002102A"/>
    <w:rsid w:val="00021062"/>
    <w:rsid w:val="0002211A"/>
    <w:rsid w:val="00022363"/>
    <w:rsid w:val="00022DD1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76D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192"/>
    <w:rsid w:val="00074236"/>
    <w:rsid w:val="00074FD5"/>
    <w:rsid w:val="00075656"/>
    <w:rsid w:val="00075E20"/>
    <w:rsid w:val="00075EF1"/>
    <w:rsid w:val="00076DF1"/>
    <w:rsid w:val="00077BAE"/>
    <w:rsid w:val="000802AA"/>
    <w:rsid w:val="0008055C"/>
    <w:rsid w:val="00080599"/>
    <w:rsid w:val="00080AD4"/>
    <w:rsid w:val="00082400"/>
    <w:rsid w:val="00082E8F"/>
    <w:rsid w:val="000836C8"/>
    <w:rsid w:val="00084125"/>
    <w:rsid w:val="00084367"/>
    <w:rsid w:val="00084DB5"/>
    <w:rsid w:val="0008522D"/>
    <w:rsid w:val="000853F6"/>
    <w:rsid w:val="00085793"/>
    <w:rsid w:val="00085959"/>
    <w:rsid w:val="00086137"/>
    <w:rsid w:val="00086505"/>
    <w:rsid w:val="00086FD5"/>
    <w:rsid w:val="00087534"/>
    <w:rsid w:val="000876F2"/>
    <w:rsid w:val="00087E4A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3E4"/>
    <w:rsid w:val="000B3518"/>
    <w:rsid w:val="000B4179"/>
    <w:rsid w:val="000B4313"/>
    <w:rsid w:val="000B5052"/>
    <w:rsid w:val="000B7609"/>
    <w:rsid w:val="000B7A93"/>
    <w:rsid w:val="000C0779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1C5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6F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1BA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32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1D72"/>
    <w:rsid w:val="0012222F"/>
    <w:rsid w:val="001222F7"/>
    <w:rsid w:val="00122F11"/>
    <w:rsid w:val="001244D5"/>
    <w:rsid w:val="001247BF"/>
    <w:rsid w:val="001249A4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38E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2FC2"/>
    <w:rsid w:val="0014332C"/>
    <w:rsid w:val="00143490"/>
    <w:rsid w:val="00143A74"/>
    <w:rsid w:val="00143FAA"/>
    <w:rsid w:val="0014438B"/>
    <w:rsid w:val="0014627B"/>
    <w:rsid w:val="00146334"/>
    <w:rsid w:val="001472BF"/>
    <w:rsid w:val="0014743D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57D5F"/>
    <w:rsid w:val="0016144D"/>
    <w:rsid w:val="00161F87"/>
    <w:rsid w:val="001629CF"/>
    <w:rsid w:val="00162D88"/>
    <w:rsid w:val="00162DB3"/>
    <w:rsid w:val="00164578"/>
    <w:rsid w:val="00164F7F"/>
    <w:rsid w:val="001650BF"/>
    <w:rsid w:val="00165636"/>
    <w:rsid w:val="00165778"/>
    <w:rsid w:val="00165DB2"/>
    <w:rsid w:val="00166265"/>
    <w:rsid w:val="001663A5"/>
    <w:rsid w:val="00167147"/>
    <w:rsid w:val="001709C3"/>
    <w:rsid w:val="001719D5"/>
    <w:rsid w:val="00172464"/>
    <w:rsid w:val="00172D8A"/>
    <w:rsid w:val="00173018"/>
    <w:rsid w:val="00173271"/>
    <w:rsid w:val="00173BBC"/>
    <w:rsid w:val="00174082"/>
    <w:rsid w:val="00174D9C"/>
    <w:rsid w:val="0017530B"/>
    <w:rsid w:val="001758DF"/>
    <w:rsid w:val="00175C39"/>
    <w:rsid w:val="00176276"/>
    <w:rsid w:val="00176596"/>
    <w:rsid w:val="00176BFD"/>
    <w:rsid w:val="00177FB2"/>
    <w:rsid w:val="0018004F"/>
    <w:rsid w:val="001806C7"/>
    <w:rsid w:val="001812F6"/>
    <w:rsid w:val="001813AD"/>
    <w:rsid w:val="00181786"/>
    <w:rsid w:val="00181CD2"/>
    <w:rsid w:val="0018249C"/>
    <w:rsid w:val="001828FD"/>
    <w:rsid w:val="00182958"/>
    <w:rsid w:val="001832EA"/>
    <w:rsid w:val="00183589"/>
    <w:rsid w:val="00183696"/>
    <w:rsid w:val="001836ED"/>
    <w:rsid w:val="00183B12"/>
    <w:rsid w:val="001850C1"/>
    <w:rsid w:val="001860E2"/>
    <w:rsid w:val="00187F05"/>
    <w:rsid w:val="00190023"/>
    <w:rsid w:val="00190251"/>
    <w:rsid w:val="001920EC"/>
    <w:rsid w:val="0019245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376A"/>
    <w:rsid w:val="001A413C"/>
    <w:rsid w:val="001A4C41"/>
    <w:rsid w:val="001A6894"/>
    <w:rsid w:val="001A7AFC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656"/>
    <w:rsid w:val="001B7FB9"/>
    <w:rsid w:val="001C011E"/>
    <w:rsid w:val="001C0815"/>
    <w:rsid w:val="001C1CE9"/>
    <w:rsid w:val="001C2C2A"/>
    <w:rsid w:val="001C38B1"/>
    <w:rsid w:val="001C66EE"/>
    <w:rsid w:val="001C70C6"/>
    <w:rsid w:val="001C739C"/>
    <w:rsid w:val="001D3315"/>
    <w:rsid w:val="001D3AC0"/>
    <w:rsid w:val="001D3CFF"/>
    <w:rsid w:val="001D4252"/>
    <w:rsid w:val="001D4C47"/>
    <w:rsid w:val="001D4CC4"/>
    <w:rsid w:val="001D5177"/>
    <w:rsid w:val="001D5BD5"/>
    <w:rsid w:val="001D5BF9"/>
    <w:rsid w:val="001D5F6A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5E4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4BC4"/>
    <w:rsid w:val="001F5BB5"/>
    <w:rsid w:val="001F6924"/>
    <w:rsid w:val="001F736B"/>
    <w:rsid w:val="001F7A48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057FF"/>
    <w:rsid w:val="00206046"/>
    <w:rsid w:val="00210C2E"/>
    <w:rsid w:val="0021189B"/>
    <w:rsid w:val="00213112"/>
    <w:rsid w:val="0021312D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281"/>
    <w:rsid w:val="0022368D"/>
    <w:rsid w:val="00223E1E"/>
    <w:rsid w:val="00223FB2"/>
    <w:rsid w:val="00225535"/>
    <w:rsid w:val="00226DC5"/>
    <w:rsid w:val="00227530"/>
    <w:rsid w:val="00227944"/>
    <w:rsid w:val="00230ABE"/>
    <w:rsid w:val="00230FB1"/>
    <w:rsid w:val="002328F6"/>
    <w:rsid w:val="002329AF"/>
    <w:rsid w:val="00233AE4"/>
    <w:rsid w:val="00234655"/>
    <w:rsid w:val="00234D43"/>
    <w:rsid w:val="00235BEE"/>
    <w:rsid w:val="0023623B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41D"/>
    <w:rsid w:val="002468C1"/>
    <w:rsid w:val="00246D4E"/>
    <w:rsid w:val="002470D0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02CE"/>
    <w:rsid w:val="002617F4"/>
    <w:rsid w:val="00261857"/>
    <w:rsid w:val="00261FED"/>
    <w:rsid w:val="00263063"/>
    <w:rsid w:val="00263080"/>
    <w:rsid w:val="00264446"/>
    <w:rsid w:val="002647D2"/>
    <w:rsid w:val="002650FF"/>
    <w:rsid w:val="00265B77"/>
    <w:rsid w:val="00265BA6"/>
    <w:rsid w:val="00266010"/>
    <w:rsid w:val="002664F3"/>
    <w:rsid w:val="00267C74"/>
    <w:rsid w:val="0027026A"/>
    <w:rsid w:val="002706B0"/>
    <w:rsid w:val="002710BE"/>
    <w:rsid w:val="002714D2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6B"/>
    <w:rsid w:val="00282B7D"/>
    <w:rsid w:val="00283D42"/>
    <w:rsid w:val="00284C83"/>
    <w:rsid w:val="0028634C"/>
    <w:rsid w:val="00286949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03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226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3C14"/>
    <w:rsid w:val="002D3EE7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5DC8"/>
    <w:rsid w:val="002E606B"/>
    <w:rsid w:val="002E7B15"/>
    <w:rsid w:val="002F02B4"/>
    <w:rsid w:val="002F0B9C"/>
    <w:rsid w:val="002F0FFF"/>
    <w:rsid w:val="002F1037"/>
    <w:rsid w:val="002F2BF4"/>
    <w:rsid w:val="002F38CE"/>
    <w:rsid w:val="002F4FFC"/>
    <w:rsid w:val="002F503E"/>
    <w:rsid w:val="002F5117"/>
    <w:rsid w:val="002F52D0"/>
    <w:rsid w:val="002F5747"/>
    <w:rsid w:val="002F5E39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3D08"/>
    <w:rsid w:val="0030542A"/>
    <w:rsid w:val="003057A3"/>
    <w:rsid w:val="00306067"/>
    <w:rsid w:val="00306367"/>
    <w:rsid w:val="00310120"/>
    <w:rsid w:val="003106F3"/>
    <w:rsid w:val="0031077A"/>
    <w:rsid w:val="00310F74"/>
    <w:rsid w:val="00311521"/>
    <w:rsid w:val="003118C0"/>
    <w:rsid w:val="00311B8A"/>
    <w:rsid w:val="003127C5"/>
    <w:rsid w:val="003131BE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1792E"/>
    <w:rsid w:val="00320472"/>
    <w:rsid w:val="0032066F"/>
    <w:rsid w:val="003208F4"/>
    <w:rsid w:val="003213D5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7F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283F"/>
    <w:rsid w:val="003539F7"/>
    <w:rsid w:val="00353B06"/>
    <w:rsid w:val="00354271"/>
    <w:rsid w:val="00355042"/>
    <w:rsid w:val="003556F3"/>
    <w:rsid w:val="00355D3C"/>
    <w:rsid w:val="003560C0"/>
    <w:rsid w:val="0035624E"/>
    <w:rsid w:val="003619DD"/>
    <w:rsid w:val="00361DF3"/>
    <w:rsid w:val="003620CE"/>
    <w:rsid w:val="00362991"/>
    <w:rsid w:val="00362CFC"/>
    <w:rsid w:val="00362DD0"/>
    <w:rsid w:val="003641B1"/>
    <w:rsid w:val="00364F82"/>
    <w:rsid w:val="00365627"/>
    <w:rsid w:val="00365877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77E39"/>
    <w:rsid w:val="0038105F"/>
    <w:rsid w:val="0038232A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217"/>
    <w:rsid w:val="00391B2E"/>
    <w:rsid w:val="00391CC8"/>
    <w:rsid w:val="00391FB2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2CB4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7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AE9"/>
    <w:rsid w:val="003C3D14"/>
    <w:rsid w:val="003C4417"/>
    <w:rsid w:val="003C48E2"/>
    <w:rsid w:val="003C6253"/>
    <w:rsid w:val="003C7986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236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50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1688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3D5E"/>
    <w:rsid w:val="0044456B"/>
    <w:rsid w:val="0044470F"/>
    <w:rsid w:val="00445B56"/>
    <w:rsid w:val="00445BA4"/>
    <w:rsid w:val="00447F71"/>
    <w:rsid w:val="0045072C"/>
    <w:rsid w:val="004508AB"/>
    <w:rsid w:val="00452D22"/>
    <w:rsid w:val="00452E9F"/>
    <w:rsid w:val="00453D28"/>
    <w:rsid w:val="004540E0"/>
    <w:rsid w:val="00454ADB"/>
    <w:rsid w:val="00454EC3"/>
    <w:rsid w:val="00454F7C"/>
    <w:rsid w:val="00455A94"/>
    <w:rsid w:val="00456570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60A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A32"/>
    <w:rsid w:val="00472F30"/>
    <w:rsid w:val="00473675"/>
    <w:rsid w:val="00474045"/>
    <w:rsid w:val="004741B4"/>
    <w:rsid w:val="00474BB0"/>
    <w:rsid w:val="00476FE7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266"/>
    <w:rsid w:val="004904F6"/>
    <w:rsid w:val="00491884"/>
    <w:rsid w:val="00493565"/>
    <w:rsid w:val="0049399E"/>
    <w:rsid w:val="00494313"/>
    <w:rsid w:val="00494F34"/>
    <w:rsid w:val="00495033"/>
    <w:rsid w:val="00496285"/>
    <w:rsid w:val="00497723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08E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315"/>
    <w:rsid w:val="004B7660"/>
    <w:rsid w:val="004B78E3"/>
    <w:rsid w:val="004B79D3"/>
    <w:rsid w:val="004B7FA1"/>
    <w:rsid w:val="004C12DB"/>
    <w:rsid w:val="004C2768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280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B02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4D7C"/>
    <w:rsid w:val="004F5B4D"/>
    <w:rsid w:val="004F6951"/>
    <w:rsid w:val="004F6CE4"/>
    <w:rsid w:val="004F7958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752"/>
    <w:rsid w:val="00504B83"/>
    <w:rsid w:val="00504BF8"/>
    <w:rsid w:val="00504DF1"/>
    <w:rsid w:val="0050516D"/>
    <w:rsid w:val="0050519C"/>
    <w:rsid w:val="00505AF5"/>
    <w:rsid w:val="00506B54"/>
    <w:rsid w:val="005078F4"/>
    <w:rsid w:val="00507C2D"/>
    <w:rsid w:val="005107A9"/>
    <w:rsid w:val="0051202F"/>
    <w:rsid w:val="005125EA"/>
    <w:rsid w:val="005131EB"/>
    <w:rsid w:val="00514028"/>
    <w:rsid w:val="005145DC"/>
    <w:rsid w:val="00514EA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1B3B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3AA7"/>
    <w:rsid w:val="00546799"/>
    <w:rsid w:val="0054741C"/>
    <w:rsid w:val="00547F11"/>
    <w:rsid w:val="00550F27"/>
    <w:rsid w:val="0055138C"/>
    <w:rsid w:val="00551A5C"/>
    <w:rsid w:val="00552145"/>
    <w:rsid w:val="00553179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46E2"/>
    <w:rsid w:val="0056527D"/>
    <w:rsid w:val="00565356"/>
    <w:rsid w:val="00566F2E"/>
    <w:rsid w:val="005700EC"/>
    <w:rsid w:val="0057028C"/>
    <w:rsid w:val="005710DF"/>
    <w:rsid w:val="00571651"/>
    <w:rsid w:val="0057171D"/>
    <w:rsid w:val="005718A5"/>
    <w:rsid w:val="0057197E"/>
    <w:rsid w:val="005723AF"/>
    <w:rsid w:val="00572400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6C1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0673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123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6F8C"/>
    <w:rsid w:val="0061737E"/>
    <w:rsid w:val="00617860"/>
    <w:rsid w:val="0062023D"/>
    <w:rsid w:val="00620474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97C"/>
    <w:rsid w:val="00630E50"/>
    <w:rsid w:val="0063106B"/>
    <w:rsid w:val="00631981"/>
    <w:rsid w:val="00632042"/>
    <w:rsid w:val="00632A08"/>
    <w:rsid w:val="006335C2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9FE"/>
    <w:rsid w:val="00640F61"/>
    <w:rsid w:val="00640FAB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1026"/>
    <w:rsid w:val="006720A8"/>
    <w:rsid w:val="00672DF2"/>
    <w:rsid w:val="0067319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32A"/>
    <w:rsid w:val="00682814"/>
    <w:rsid w:val="00682973"/>
    <w:rsid w:val="00683770"/>
    <w:rsid w:val="00684341"/>
    <w:rsid w:val="0068538C"/>
    <w:rsid w:val="0068541D"/>
    <w:rsid w:val="00685497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EAF"/>
    <w:rsid w:val="006A5F2A"/>
    <w:rsid w:val="006A5F46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6969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169"/>
    <w:rsid w:val="006E33F0"/>
    <w:rsid w:val="006E56B0"/>
    <w:rsid w:val="006E5CCC"/>
    <w:rsid w:val="006E6795"/>
    <w:rsid w:val="006E67F5"/>
    <w:rsid w:val="006E6C0A"/>
    <w:rsid w:val="006F199D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278B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25826"/>
    <w:rsid w:val="007266C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6C4B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E7E"/>
    <w:rsid w:val="00752FC1"/>
    <w:rsid w:val="00753018"/>
    <w:rsid w:val="00753330"/>
    <w:rsid w:val="00754976"/>
    <w:rsid w:val="00754BF7"/>
    <w:rsid w:val="007558AE"/>
    <w:rsid w:val="00755B62"/>
    <w:rsid w:val="007576CD"/>
    <w:rsid w:val="00760676"/>
    <w:rsid w:val="00760AAD"/>
    <w:rsid w:val="0076297B"/>
    <w:rsid w:val="00763C3E"/>
    <w:rsid w:val="0076502F"/>
    <w:rsid w:val="00766114"/>
    <w:rsid w:val="007669EE"/>
    <w:rsid w:val="00767590"/>
    <w:rsid w:val="007675C6"/>
    <w:rsid w:val="0077055A"/>
    <w:rsid w:val="00770B75"/>
    <w:rsid w:val="00771309"/>
    <w:rsid w:val="00771883"/>
    <w:rsid w:val="00772A9C"/>
    <w:rsid w:val="0077391D"/>
    <w:rsid w:val="00776508"/>
    <w:rsid w:val="00776CAD"/>
    <w:rsid w:val="00780BF9"/>
    <w:rsid w:val="00780C48"/>
    <w:rsid w:val="0078275B"/>
    <w:rsid w:val="007831EB"/>
    <w:rsid w:val="007834E1"/>
    <w:rsid w:val="00784B43"/>
    <w:rsid w:val="0078601D"/>
    <w:rsid w:val="0078775E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3E77"/>
    <w:rsid w:val="007961B2"/>
    <w:rsid w:val="007969BD"/>
    <w:rsid w:val="00796D86"/>
    <w:rsid w:val="00796EB8"/>
    <w:rsid w:val="007975E1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A7E7D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459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9B3"/>
    <w:rsid w:val="007E4C5F"/>
    <w:rsid w:val="007E528B"/>
    <w:rsid w:val="007E5FCB"/>
    <w:rsid w:val="007E6FC6"/>
    <w:rsid w:val="007E71DA"/>
    <w:rsid w:val="007E74E1"/>
    <w:rsid w:val="007F0313"/>
    <w:rsid w:val="007F0361"/>
    <w:rsid w:val="007F105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14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27F"/>
    <w:rsid w:val="00800D55"/>
    <w:rsid w:val="00801A3D"/>
    <w:rsid w:val="00802198"/>
    <w:rsid w:val="00802E33"/>
    <w:rsid w:val="00803151"/>
    <w:rsid w:val="0080354A"/>
    <w:rsid w:val="00804606"/>
    <w:rsid w:val="00804AED"/>
    <w:rsid w:val="00804AF7"/>
    <w:rsid w:val="0080552B"/>
    <w:rsid w:val="0080588C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3A4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5FD0"/>
    <w:rsid w:val="008371B4"/>
    <w:rsid w:val="0083782F"/>
    <w:rsid w:val="0084011C"/>
    <w:rsid w:val="00841032"/>
    <w:rsid w:val="0084153F"/>
    <w:rsid w:val="00841EC7"/>
    <w:rsid w:val="00841F40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2E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884"/>
    <w:rsid w:val="00884C61"/>
    <w:rsid w:val="00884E96"/>
    <w:rsid w:val="00884EC3"/>
    <w:rsid w:val="00885B83"/>
    <w:rsid w:val="00886D94"/>
    <w:rsid w:val="00887107"/>
    <w:rsid w:val="00887244"/>
    <w:rsid w:val="0088756D"/>
    <w:rsid w:val="00887DBD"/>
    <w:rsid w:val="0089020C"/>
    <w:rsid w:val="00890279"/>
    <w:rsid w:val="008902B2"/>
    <w:rsid w:val="00890375"/>
    <w:rsid w:val="00890713"/>
    <w:rsid w:val="008918E0"/>
    <w:rsid w:val="00891AE9"/>
    <w:rsid w:val="008922F4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23AF"/>
    <w:rsid w:val="008B4E46"/>
    <w:rsid w:val="008B57A9"/>
    <w:rsid w:val="008B5A88"/>
    <w:rsid w:val="008B6E40"/>
    <w:rsid w:val="008B6E88"/>
    <w:rsid w:val="008B70B0"/>
    <w:rsid w:val="008B7141"/>
    <w:rsid w:val="008B72EC"/>
    <w:rsid w:val="008B73A5"/>
    <w:rsid w:val="008B792B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6D43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642C"/>
    <w:rsid w:val="008E6EDE"/>
    <w:rsid w:val="008E7524"/>
    <w:rsid w:val="008E7F84"/>
    <w:rsid w:val="008F193C"/>
    <w:rsid w:val="008F21C5"/>
    <w:rsid w:val="008F3787"/>
    <w:rsid w:val="008F3C33"/>
    <w:rsid w:val="008F5C79"/>
    <w:rsid w:val="008F653B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11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A80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3A2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543"/>
    <w:rsid w:val="00935705"/>
    <w:rsid w:val="00935D11"/>
    <w:rsid w:val="00937B7E"/>
    <w:rsid w:val="009400C2"/>
    <w:rsid w:val="00940669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5F06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343F"/>
    <w:rsid w:val="009B48F8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4F32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027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DE2"/>
    <w:rsid w:val="009E5F0B"/>
    <w:rsid w:val="009E72EE"/>
    <w:rsid w:val="009E75B1"/>
    <w:rsid w:val="009F05F4"/>
    <w:rsid w:val="009F25AE"/>
    <w:rsid w:val="009F2A01"/>
    <w:rsid w:val="009F3548"/>
    <w:rsid w:val="009F4C63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3C76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43EA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1F55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40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575"/>
    <w:rsid w:val="00A56882"/>
    <w:rsid w:val="00A57157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4FFD"/>
    <w:rsid w:val="00A65298"/>
    <w:rsid w:val="00A65BAA"/>
    <w:rsid w:val="00A70154"/>
    <w:rsid w:val="00A73626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77C69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1F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A7E35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D47"/>
    <w:rsid w:val="00AC1EB9"/>
    <w:rsid w:val="00AC208A"/>
    <w:rsid w:val="00AC247F"/>
    <w:rsid w:val="00AC27D6"/>
    <w:rsid w:val="00AC2A4B"/>
    <w:rsid w:val="00AC2BE4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1CE3"/>
    <w:rsid w:val="00AD206F"/>
    <w:rsid w:val="00AD41E5"/>
    <w:rsid w:val="00AD41FD"/>
    <w:rsid w:val="00AD5087"/>
    <w:rsid w:val="00AD51B2"/>
    <w:rsid w:val="00AD6F88"/>
    <w:rsid w:val="00AD728E"/>
    <w:rsid w:val="00AE0364"/>
    <w:rsid w:val="00AE136D"/>
    <w:rsid w:val="00AE1522"/>
    <w:rsid w:val="00AE1D50"/>
    <w:rsid w:val="00AE1FB3"/>
    <w:rsid w:val="00AE2645"/>
    <w:rsid w:val="00AE2BD2"/>
    <w:rsid w:val="00AE2C7F"/>
    <w:rsid w:val="00AE3040"/>
    <w:rsid w:val="00AE3C28"/>
    <w:rsid w:val="00AE4515"/>
    <w:rsid w:val="00AE49BC"/>
    <w:rsid w:val="00AE4B06"/>
    <w:rsid w:val="00AE5161"/>
    <w:rsid w:val="00AE5F17"/>
    <w:rsid w:val="00AE6F3F"/>
    <w:rsid w:val="00AE6F50"/>
    <w:rsid w:val="00AE7237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4DF2"/>
    <w:rsid w:val="00AF50DD"/>
    <w:rsid w:val="00AF61C5"/>
    <w:rsid w:val="00AF64C1"/>
    <w:rsid w:val="00AF65DB"/>
    <w:rsid w:val="00AF6689"/>
    <w:rsid w:val="00AF6A01"/>
    <w:rsid w:val="00AF6DE7"/>
    <w:rsid w:val="00AF706F"/>
    <w:rsid w:val="00AF7419"/>
    <w:rsid w:val="00AF7E0F"/>
    <w:rsid w:val="00B00501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8D9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86948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56DF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112"/>
    <w:rsid w:val="00BD4314"/>
    <w:rsid w:val="00BD46FA"/>
    <w:rsid w:val="00BD5131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24B8"/>
    <w:rsid w:val="00BE3F76"/>
    <w:rsid w:val="00BE56D4"/>
    <w:rsid w:val="00BE5BDF"/>
    <w:rsid w:val="00BE63A6"/>
    <w:rsid w:val="00BE6EBD"/>
    <w:rsid w:val="00BE6EDD"/>
    <w:rsid w:val="00BE728F"/>
    <w:rsid w:val="00BE7D9F"/>
    <w:rsid w:val="00BF055F"/>
    <w:rsid w:val="00BF2DFB"/>
    <w:rsid w:val="00BF44D0"/>
    <w:rsid w:val="00BF48F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2FAE"/>
    <w:rsid w:val="00C13143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17DD3"/>
    <w:rsid w:val="00C200B9"/>
    <w:rsid w:val="00C21B6A"/>
    <w:rsid w:val="00C22B35"/>
    <w:rsid w:val="00C230CC"/>
    <w:rsid w:val="00C23845"/>
    <w:rsid w:val="00C24BFF"/>
    <w:rsid w:val="00C251B5"/>
    <w:rsid w:val="00C2549A"/>
    <w:rsid w:val="00C254F1"/>
    <w:rsid w:val="00C25D22"/>
    <w:rsid w:val="00C26527"/>
    <w:rsid w:val="00C30749"/>
    <w:rsid w:val="00C3145D"/>
    <w:rsid w:val="00C318FD"/>
    <w:rsid w:val="00C320EA"/>
    <w:rsid w:val="00C32401"/>
    <w:rsid w:val="00C32A84"/>
    <w:rsid w:val="00C33786"/>
    <w:rsid w:val="00C346A1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5C62"/>
    <w:rsid w:val="00C5640F"/>
    <w:rsid w:val="00C56837"/>
    <w:rsid w:val="00C56D78"/>
    <w:rsid w:val="00C577C3"/>
    <w:rsid w:val="00C579B7"/>
    <w:rsid w:val="00C57F96"/>
    <w:rsid w:val="00C6180F"/>
    <w:rsid w:val="00C61C5F"/>
    <w:rsid w:val="00C620A4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753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87D72"/>
    <w:rsid w:val="00C9093D"/>
    <w:rsid w:val="00C90B3E"/>
    <w:rsid w:val="00C90CD3"/>
    <w:rsid w:val="00C90E9C"/>
    <w:rsid w:val="00C92B12"/>
    <w:rsid w:val="00C93EF3"/>
    <w:rsid w:val="00C93F43"/>
    <w:rsid w:val="00C94718"/>
    <w:rsid w:val="00C95E11"/>
    <w:rsid w:val="00C96E72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27A3"/>
    <w:rsid w:val="00CB4460"/>
    <w:rsid w:val="00CB4642"/>
    <w:rsid w:val="00CB49F6"/>
    <w:rsid w:val="00CB5F87"/>
    <w:rsid w:val="00CB61D9"/>
    <w:rsid w:val="00CB6542"/>
    <w:rsid w:val="00CB6A00"/>
    <w:rsid w:val="00CB6D38"/>
    <w:rsid w:val="00CC0433"/>
    <w:rsid w:val="00CC1021"/>
    <w:rsid w:val="00CC1D80"/>
    <w:rsid w:val="00CC2B3D"/>
    <w:rsid w:val="00CC3789"/>
    <w:rsid w:val="00CC40D4"/>
    <w:rsid w:val="00CC4BCA"/>
    <w:rsid w:val="00CC5926"/>
    <w:rsid w:val="00CC6127"/>
    <w:rsid w:val="00CC66B9"/>
    <w:rsid w:val="00CC66D5"/>
    <w:rsid w:val="00CC66DB"/>
    <w:rsid w:val="00CC79E7"/>
    <w:rsid w:val="00CD0779"/>
    <w:rsid w:val="00CD081F"/>
    <w:rsid w:val="00CD1DED"/>
    <w:rsid w:val="00CD2B98"/>
    <w:rsid w:val="00CD3A26"/>
    <w:rsid w:val="00CD6CC3"/>
    <w:rsid w:val="00CD6E9C"/>
    <w:rsid w:val="00CD71A0"/>
    <w:rsid w:val="00CD781A"/>
    <w:rsid w:val="00CD7DBE"/>
    <w:rsid w:val="00CE061A"/>
    <w:rsid w:val="00CE1CE2"/>
    <w:rsid w:val="00CE2421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950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021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0B05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4"/>
    <w:rsid w:val="00D34AEA"/>
    <w:rsid w:val="00D36024"/>
    <w:rsid w:val="00D36268"/>
    <w:rsid w:val="00D36350"/>
    <w:rsid w:val="00D36810"/>
    <w:rsid w:val="00D3722F"/>
    <w:rsid w:val="00D37DB2"/>
    <w:rsid w:val="00D407EA"/>
    <w:rsid w:val="00D40F34"/>
    <w:rsid w:val="00D4136B"/>
    <w:rsid w:val="00D4161A"/>
    <w:rsid w:val="00D41C48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805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508"/>
    <w:rsid w:val="00D77DA6"/>
    <w:rsid w:val="00D801C1"/>
    <w:rsid w:val="00D81D4D"/>
    <w:rsid w:val="00D8355A"/>
    <w:rsid w:val="00D83E2A"/>
    <w:rsid w:val="00D84152"/>
    <w:rsid w:val="00D841C9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1BD6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580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68E"/>
    <w:rsid w:val="00E26E9C"/>
    <w:rsid w:val="00E27566"/>
    <w:rsid w:val="00E3214B"/>
    <w:rsid w:val="00E324B3"/>
    <w:rsid w:val="00E337DC"/>
    <w:rsid w:val="00E33AB4"/>
    <w:rsid w:val="00E33F3E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857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4D86"/>
    <w:rsid w:val="00E55A6A"/>
    <w:rsid w:val="00E57E3A"/>
    <w:rsid w:val="00E57FCC"/>
    <w:rsid w:val="00E60159"/>
    <w:rsid w:val="00E603BD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663"/>
    <w:rsid w:val="00E76DAA"/>
    <w:rsid w:val="00E77704"/>
    <w:rsid w:val="00E77A46"/>
    <w:rsid w:val="00E77C5A"/>
    <w:rsid w:val="00E80147"/>
    <w:rsid w:val="00E81586"/>
    <w:rsid w:val="00E82993"/>
    <w:rsid w:val="00E8306E"/>
    <w:rsid w:val="00E8317A"/>
    <w:rsid w:val="00E83547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977F8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142"/>
    <w:rsid w:val="00EB3997"/>
    <w:rsid w:val="00EB600D"/>
    <w:rsid w:val="00EB6A2F"/>
    <w:rsid w:val="00EB6CF3"/>
    <w:rsid w:val="00EC07B8"/>
    <w:rsid w:val="00EC1B45"/>
    <w:rsid w:val="00EC1F77"/>
    <w:rsid w:val="00EC40EC"/>
    <w:rsid w:val="00EC64B0"/>
    <w:rsid w:val="00EC678F"/>
    <w:rsid w:val="00EC7047"/>
    <w:rsid w:val="00EC7A26"/>
    <w:rsid w:val="00EC7B16"/>
    <w:rsid w:val="00EC7E8D"/>
    <w:rsid w:val="00ED00F8"/>
    <w:rsid w:val="00ED08C0"/>
    <w:rsid w:val="00ED0AC3"/>
    <w:rsid w:val="00ED1303"/>
    <w:rsid w:val="00ED16E6"/>
    <w:rsid w:val="00ED21B2"/>
    <w:rsid w:val="00ED26A3"/>
    <w:rsid w:val="00ED2B9B"/>
    <w:rsid w:val="00ED2E44"/>
    <w:rsid w:val="00ED2EEF"/>
    <w:rsid w:val="00ED3031"/>
    <w:rsid w:val="00ED303B"/>
    <w:rsid w:val="00ED3735"/>
    <w:rsid w:val="00ED4760"/>
    <w:rsid w:val="00ED49C4"/>
    <w:rsid w:val="00ED59C9"/>
    <w:rsid w:val="00ED68A5"/>
    <w:rsid w:val="00ED7B07"/>
    <w:rsid w:val="00EE056F"/>
    <w:rsid w:val="00EE0800"/>
    <w:rsid w:val="00EE088D"/>
    <w:rsid w:val="00EE08B4"/>
    <w:rsid w:val="00EE18A2"/>
    <w:rsid w:val="00EE19A5"/>
    <w:rsid w:val="00EE22A6"/>
    <w:rsid w:val="00EE2541"/>
    <w:rsid w:val="00EE37DE"/>
    <w:rsid w:val="00EE3E5D"/>
    <w:rsid w:val="00EE4792"/>
    <w:rsid w:val="00EE47AE"/>
    <w:rsid w:val="00EE511A"/>
    <w:rsid w:val="00EE516F"/>
    <w:rsid w:val="00EE557F"/>
    <w:rsid w:val="00EE574A"/>
    <w:rsid w:val="00EE6C0A"/>
    <w:rsid w:val="00EE7C49"/>
    <w:rsid w:val="00EF003D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071C0"/>
    <w:rsid w:val="00F11E94"/>
    <w:rsid w:val="00F12E2D"/>
    <w:rsid w:val="00F12F87"/>
    <w:rsid w:val="00F13542"/>
    <w:rsid w:val="00F143BA"/>
    <w:rsid w:val="00F15347"/>
    <w:rsid w:val="00F15F51"/>
    <w:rsid w:val="00F16011"/>
    <w:rsid w:val="00F164BA"/>
    <w:rsid w:val="00F16836"/>
    <w:rsid w:val="00F1751E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432"/>
    <w:rsid w:val="00F23FAC"/>
    <w:rsid w:val="00F242C4"/>
    <w:rsid w:val="00F24504"/>
    <w:rsid w:val="00F24F9D"/>
    <w:rsid w:val="00F26582"/>
    <w:rsid w:val="00F27C4E"/>
    <w:rsid w:val="00F3021D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4D87"/>
    <w:rsid w:val="00F35639"/>
    <w:rsid w:val="00F375BA"/>
    <w:rsid w:val="00F40687"/>
    <w:rsid w:val="00F40F2A"/>
    <w:rsid w:val="00F42932"/>
    <w:rsid w:val="00F42CE9"/>
    <w:rsid w:val="00F4368C"/>
    <w:rsid w:val="00F44ADD"/>
    <w:rsid w:val="00F4503F"/>
    <w:rsid w:val="00F452EF"/>
    <w:rsid w:val="00F462D2"/>
    <w:rsid w:val="00F4642D"/>
    <w:rsid w:val="00F46C32"/>
    <w:rsid w:val="00F47582"/>
    <w:rsid w:val="00F47B22"/>
    <w:rsid w:val="00F47E1F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31F"/>
    <w:rsid w:val="00F56415"/>
    <w:rsid w:val="00F56DFB"/>
    <w:rsid w:val="00F56E47"/>
    <w:rsid w:val="00F56F35"/>
    <w:rsid w:val="00F5795F"/>
    <w:rsid w:val="00F602B9"/>
    <w:rsid w:val="00F60E6C"/>
    <w:rsid w:val="00F63DA6"/>
    <w:rsid w:val="00F64119"/>
    <w:rsid w:val="00F64301"/>
    <w:rsid w:val="00F643D1"/>
    <w:rsid w:val="00F644F7"/>
    <w:rsid w:val="00F650C5"/>
    <w:rsid w:val="00F65C3F"/>
    <w:rsid w:val="00F672EC"/>
    <w:rsid w:val="00F675B7"/>
    <w:rsid w:val="00F675F3"/>
    <w:rsid w:val="00F67D6C"/>
    <w:rsid w:val="00F70839"/>
    <w:rsid w:val="00F7094D"/>
    <w:rsid w:val="00F711E7"/>
    <w:rsid w:val="00F71336"/>
    <w:rsid w:val="00F71A35"/>
    <w:rsid w:val="00F7251A"/>
    <w:rsid w:val="00F72BD1"/>
    <w:rsid w:val="00F73D7F"/>
    <w:rsid w:val="00F74351"/>
    <w:rsid w:val="00F76099"/>
    <w:rsid w:val="00F76A49"/>
    <w:rsid w:val="00F77046"/>
    <w:rsid w:val="00F77408"/>
    <w:rsid w:val="00F802A2"/>
    <w:rsid w:val="00F823F6"/>
    <w:rsid w:val="00F82867"/>
    <w:rsid w:val="00F829B7"/>
    <w:rsid w:val="00F8413D"/>
    <w:rsid w:val="00F84963"/>
    <w:rsid w:val="00F854E6"/>
    <w:rsid w:val="00F8561F"/>
    <w:rsid w:val="00F86233"/>
    <w:rsid w:val="00F862CE"/>
    <w:rsid w:val="00F867FB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54F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44B1"/>
    <w:rsid w:val="00FC48C3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0723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0BFC"/>
    <w:rsid w:val="00FF2066"/>
    <w:rsid w:val="00FF27CC"/>
    <w:rsid w:val="00FF2A54"/>
    <w:rsid w:val="00FF2C39"/>
    <w:rsid w:val="00FF346A"/>
    <w:rsid w:val="00FF359E"/>
    <w:rsid w:val="00FF3BE6"/>
    <w:rsid w:val="00FF3C8E"/>
    <w:rsid w:val="00FF460A"/>
    <w:rsid w:val="00FF48D8"/>
    <w:rsid w:val="00FF4C8E"/>
    <w:rsid w:val="00FF558B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7F969"/>
  <w15:docId w15:val="{AC9BE606-4035-4BCE-B0D2-35A0533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3">
    <w:name w:val="Char Char Char3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2">
    <w:name w:val="Char Char Char2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1">
    <w:name w:val="Char Char Char1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 b="1"/>
              <a:t>Однос просечне месечне зараде и Просечне потрошачке корпе</a:t>
            </a:r>
            <a:endParaRPr lang="sr-Latn-R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'[Chart in Microsoft Word]Sheet1'!$D$7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'[Chart in Microsoft Word]Sheet1'!$C$8:$C$12</c:f>
              <c:strCache>
                <c:ptCount val="5"/>
                <c:pt idx="0">
                  <c:v>новембар 2018</c:v>
                </c:pt>
                <c:pt idx="1">
                  <c:v>новембар 2019</c:v>
                </c:pt>
                <c:pt idx="2">
                  <c:v>новембар 2020</c:v>
                </c:pt>
                <c:pt idx="3">
                  <c:v>октобар 2021</c:v>
                </c:pt>
                <c:pt idx="4">
                  <c:v>новембар 2021</c:v>
                </c:pt>
              </c:strCache>
            </c:strRef>
          </c:cat>
          <c:val>
            <c:numRef>
              <c:f>'[Chart in Microsoft Word]Sheet1'!$D$8:$D$12</c:f>
              <c:numCache>
                <c:formatCode>0</c:formatCode>
                <c:ptCount val="5"/>
                <c:pt idx="0">
                  <c:v>51</c:v>
                </c:pt>
                <c:pt idx="1">
                  <c:v>56</c:v>
                </c:pt>
                <c:pt idx="2">
                  <c:v>61</c:v>
                </c:pt>
                <c:pt idx="3">
                  <c:v>66</c:v>
                </c:pt>
                <c:pt idx="4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2-4E00-9D46-B2C1C4A295FC}"/>
            </c:ext>
          </c:extLst>
        </c:ser>
        <c:ser>
          <c:idx val="1"/>
          <c:order val="1"/>
          <c:tx>
            <c:strRef>
              <c:f>'[Chart in Microsoft Word]Sheet1'!$E$7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'[Chart in Microsoft Word]Sheet1'!$C$8:$C$12</c:f>
              <c:strCache>
                <c:ptCount val="5"/>
                <c:pt idx="0">
                  <c:v>новембар 2018</c:v>
                </c:pt>
                <c:pt idx="1">
                  <c:v>новембар 2019</c:v>
                </c:pt>
                <c:pt idx="2">
                  <c:v>новембар 2020</c:v>
                </c:pt>
                <c:pt idx="3">
                  <c:v>октобар 2021</c:v>
                </c:pt>
                <c:pt idx="4">
                  <c:v>новембар 2021</c:v>
                </c:pt>
              </c:strCache>
            </c:strRef>
          </c:cat>
          <c:val>
            <c:numRef>
              <c:f>'[Chart in Microsoft Word]Sheet1'!$E$8:$E$12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74</c:v>
                </c:pt>
                <c:pt idx="3">
                  <c:v>79</c:v>
                </c:pt>
                <c:pt idx="4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52-4E00-9D46-B2C1C4A29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95960"/>
        <c:axId val="190096944"/>
      </c:barChart>
      <c:catAx>
        <c:axId val="190095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96944"/>
        <c:crosses val="autoZero"/>
        <c:auto val="1"/>
        <c:lblAlgn val="ctr"/>
        <c:lblOffset val="100"/>
        <c:noMultiLvlLbl val="0"/>
      </c:catAx>
      <c:valAx>
        <c:axId val="1900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95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 b="1"/>
              <a:t>Однос</a:t>
            </a:r>
            <a:r>
              <a:rPr lang="sr-Cyrl-RS" b="1" baseline="0"/>
              <a:t> просечпне месечне зараде и Минималне потрошачке корпе</a:t>
            </a:r>
            <a:endParaRPr lang="sr-Latn-R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'[Chart in Microsoft Word]Sheet1'!$D$6:$D$7</c:f>
              <c:strCache>
                <c:ptCount val="2"/>
                <c:pt idx="1">
                  <c:v>просечна месечна зарада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'[Chart in Microsoft Word]Sheet1'!$C$8:$C$12</c:f>
              <c:strCache>
                <c:ptCount val="5"/>
                <c:pt idx="0">
                  <c:v>новембар 2018</c:v>
                </c:pt>
                <c:pt idx="1">
                  <c:v>новембар 2019</c:v>
                </c:pt>
                <c:pt idx="2">
                  <c:v>новембар 2020</c:v>
                </c:pt>
                <c:pt idx="3">
                  <c:v>октобар 2021</c:v>
                </c:pt>
                <c:pt idx="4">
                  <c:v>новембар 2021</c:v>
                </c:pt>
              </c:strCache>
            </c:strRef>
          </c:cat>
          <c:val>
            <c:numRef>
              <c:f>'[Chart in Microsoft Word]Sheet1'!$D$8:$D$12</c:f>
              <c:numCache>
                <c:formatCode>0</c:formatCode>
                <c:ptCount val="5"/>
                <c:pt idx="0">
                  <c:v>51</c:v>
                </c:pt>
                <c:pt idx="1">
                  <c:v>56</c:v>
                </c:pt>
                <c:pt idx="2">
                  <c:v>61</c:v>
                </c:pt>
                <c:pt idx="3">
                  <c:v>66</c:v>
                </c:pt>
                <c:pt idx="4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59-4FB5-8E8F-4A13B49F64B2}"/>
            </c:ext>
          </c:extLst>
        </c:ser>
        <c:ser>
          <c:idx val="1"/>
          <c:order val="1"/>
          <c:tx>
            <c:strRef>
              <c:f>'[Chart in Microsoft Word]Sheet1'!$E$6:$E$7</c:f>
              <c:strCache>
                <c:ptCount val="2"/>
                <c:pt idx="1">
                  <c:v>минимална потрошачка корпа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'[Chart in Microsoft Word]Sheet1'!$C$8:$C$12</c:f>
              <c:strCache>
                <c:ptCount val="5"/>
                <c:pt idx="0">
                  <c:v>новембар 2018</c:v>
                </c:pt>
                <c:pt idx="1">
                  <c:v>новембар 2019</c:v>
                </c:pt>
                <c:pt idx="2">
                  <c:v>новембар 2020</c:v>
                </c:pt>
                <c:pt idx="3">
                  <c:v>октобар 2021</c:v>
                </c:pt>
                <c:pt idx="4">
                  <c:v>новембар 2021</c:v>
                </c:pt>
              </c:strCache>
            </c:strRef>
          </c:cat>
          <c:val>
            <c:numRef>
              <c:f>'[Chart in Microsoft Word]Sheet1'!$E$8:$E$12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38</c:v>
                </c:pt>
                <c:pt idx="3">
                  <c:v>41</c:v>
                </c:pt>
                <c:pt idx="4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59-4FB5-8E8F-4A13B49F64B2}"/>
            </c:ext>
          </c:extLst>
        </c:ser>
        <c:ser>
          <c:idx val="2"/>
          <c:order val="2"/>
          <c:tx>
            <c:strRef>
              <c:f>'[Chart in Microsoft Word]Sheet1'!$F$6:$F$7</c:f>
              <c:strCache>
                <c:ptCount val="2"/>
                <c:pt idx="1">
                  <c:v>минимална потрошачка корпа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'[Chart in Microsoft Word]Sheet1'!$C$8:$C$12</c:f>
              <c:strCache>
                <c:ptCount val="5"/>
                <c:pt idx="0">
                  <c:v>новембар 2018</c:v>
                </c:pt>
                <c:pt idx="1">
                  <c:v>новембар 2019</c:v>
                </c:pt>
                <c:pt idx="2">
                  <c:v>новембар 2020</c:v>
                </c:pt>
                <c:pt idx="3">
                  <c:v>октобар 2021</c:v>
                </c:pt>
                <c:pt idx="4">
                  <c:v>новембар 2021</c:v>
                </c:pt>
              </c:strCache>
            </c:strRef>
          </c:cat>
          <c:val>
            <c:numRef>
              <c:f>'[Chart in Microsoft Word]Sheet1'!$F$8:$F$12</c:f>
              <c:numCache>
                <c:formatCode>General</c:formatCode>
                <c:ptCount val="5"/>
                <c:pt idx="4" formatCode="@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59-4FB5-8E8F-4A13B49F6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760136"/>
        <c:axId val="454764728"/>
      </c:barChart>
      <c:catAx>
        <c:axId val="45476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64728"/>
        <c:crosses val="autoZero"/>
        <c:auto val="1"/>
        <c:lblAlgn val="ctr"/>
        <c:lblOffset val="100"/>
        <c:noMultiLvlLbl val="0"/>
      </c:catAx>
      <c:valAx>
        <c:axId val="45476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6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DC53-48CB-9630-75BBD54D36A0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DC53-48CB-9630-75BBD54D36A0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DC53-48CB-9630-75BBD54D36A0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DC53-48CB-9630-75BBD54D36A0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DC53-48CB-9630-75BBD54D36A0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DC53-48CB-9630-75BBD54D36A0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DC53-48CB-9630-75BBD54D36A0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DC53-48CB-9630-75BBD54D36A0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DC53-48CB-9630-75BBD54D36A0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DC53-48CB-9630-75BBD54D36A0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DC53-48CB-9630-75BBD54D36A0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DC53-48CB-9630-75BBD54D36A0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DC53-48CB-9630-75BBD54D36A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38.44%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C53-48CB-9630-75BBD54D36A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9.35%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C53-48CB-9630-75BBD54D36A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3.79%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C53-48CB-9630-75BBD54D36A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19.75%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C53-48CB-9630-75BBD54D36A0}"/>
                </c:ext>
              </c:extLst>
            </c:dLbl>
            <c:dLbl>
              <c:idx val="4"/>
              <c:layout>
                <c:manualLayout>
                  <c:x val="-6.0710605060704959E-3"/>
                  <c:y val="6.212384931782018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4.02%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C53-48CB-9630-75BBD54D36A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3.43%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C53-48CB-9630-75BBD54D36A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7.60%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C53-48CB-9630-75BBD54D36A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2.65%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C53-48CB-9630-75BBD54D36A0}"/>
                </c:ext>
              </c:extLst>
            </c:dLbl>
            <c:dLbl>
              <c:idx val="8"/>
              <c:layout>
                <c:manualLayout>
                  <c:x val="-4.860085927117893E-2"/>
                  <c:y val="4.883088692316024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6.10%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C53-48CB-9630-75BBD54D36A0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14.74%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DC53-48CB-9630-75BBD54D36A0}"/>
                </c:ext>
              </c:extLst>
            </c:dLbl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0.38213039888317363</c:v>
                </c:pt>
                <c:pt idx="1">
                  <c:v>9.4355723962670654E-2</c:v>
                </c:pt>
                <c:pt idx="2">
                  <c:v>3.7790096508805222E-2</c:v>
                </c:pt>
                <c:pt idx="3">
                  <c:v>0.19816336467707951</c:v>
                </c:pt>
                <c:pt idx="4">
                  <c:v>4.0305711498993549E-2</c:v>
                </c:pt>
                <c:pt idx="5">
                  <c:v>3.4458401403212845E-2</c:v>
                </c:pt>
                <c:pt idx="6">
                  <c:v>7.5762471135084525E-2</c:v>
                </c:pt>
                <c:pt idx="7">
                  <c:v>2.6697297480415844E-2</c:v>
                </c:pt>
                <c:pt idx="8">
                  <c:v>6.161455433885122E-2</c:v>
                </c:pt>
                <c:pt idx="9">
                  <c:v>6.2188186861110144E-3</c:v>
                </c:pt>
                <c:pt idx="10">
                  <c:v>1.1294417334472001E-2</c:v>
                </c:pt>
                <c:pt idx="11">
                  <c:v>3.1208744091129958E-2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53-48CB-9630-75BBD54D3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1FDD-446D-98D0-4F555AF0B5C4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1FDD-446D-98D0-4F555AF0B5C4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1FDD-446D-98D0-4F555AF0B5C4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1FDD-446D-98D0-4F555AF0B5C4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1FDD-446D-98D0-4F555AF0B5C4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1FDD-446D-98D0-4F555AF0B5C4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1FDD-446D-98D0-4F555AF0B5C4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1FDD-446D-98D0-4F555AF0B5C4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1FDD-446D-98D0-4F555AF0B5C4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1FDD-446D-98D0-4F555AF0B5C4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1FDD-446D-98D0-4F555AF0B5C4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1FDD-446D-98D0-4F555AF0B5C4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1FDD-446D-98D0-4F555AF0B5C4}"/>
              </c:ext>
            </c:extLst>
          </c:dPt>
          <c:dLbls>
            <c:dLbl>
              <c:idx val="0"/>
              <c:layout>
                <c:manualLayout>
                  <c:x val="2.8003607040509144E-2"/>
                  <c:y val="-0.1093961291435338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45.83%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FDD-446D-98D0-4F555AF0B5C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8.18%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FDD-446D-98D0-4F555AF0B5C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19.19%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FDD-446D-98D0-4F555AF0B5C4}"/>
                </c:ext>
              </c:extLst>
            </c:dLbl>
            <c:dLbl>
              <c:idx val="4"/>
              <c:layout>
                <c:manualLayout>
                  <c:x val="-2.7121791858394279E-2"/>
                  <c:y val="4.457363892689585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4.09%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FDD-446D-98D0-4F555AF0B5C4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3.62%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FDD-446D-98D0-4F555AF0B5C4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2.41%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FDD-446D-98D0-4F555AF0B5C4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3.75%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FDD-446D-98D0-4F555AF0B5C4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/>
                      <a:t>3.32%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FDD-446D-98D0-4F555AF0B5C4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17.01%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1FDD-446D-98D0-4F555AF0B5C4}"/>
                </c:ext>
              </c:extLst>
            </c:dLbl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0.4548598490268374</c:v>
                </c:pt>
                <c:pt idx="1">
                  <c:v>8.2756677569438608E-2</c:v>
                </c:pt>
                <c:pt idx="2">
                  <c:v>2.8671745900538941E-2</c:v>
                </c:pt>
                <c:pt idx="3">
                  <c:v>0.19311134939534896</c:v>
                </c:pt>
                <c:pt idx="4">
                  <c:v>4.1083087761219238E-2</c:v>
                </c:pt>
                <c:pt idx="5">
                  <c:v>3.6430736637805043E-2</c:v>
                </c:pt>
                <c:pt idx="6">
                  <c:v>5.6963567790788518E-2</c:v>
                </c:pt>
                <c:pt idx="7">
                  <c:v>2.4333298400613181E-2</c:v>
                </c:pt>
                <c:pt idx="8">
                  <c:v>3.7941842665809959E-2</c:v>
                </c:pt>
                <c:pt idx="9">
                  <c:v>3.1419813822509226E-3</c:v>
                </c:pt>
                <c:pt idx="10">
                  <c:v>7.3199183506978405E-3</c:v>
                </c:pt>
                <c:pt idx="11">
                  <c:v>3.3385945118651394E-2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FDD-446D-98D0-4F555AF0B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78995204172957"/>
          <c:y val="9.4207176954490143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DA36D-8F54-4A9A-8CDA-A617C421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23</Pages>
  <Words>4753</Words>
  <Characters>27098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Sladjana</cp:lastModifiedBy>
  <cp:revision>46</cp:revision>
  <cp:lastPrinted>2022-02-01T10:24:00Z</cp:lastPrinted>
  <dcterms:created xsi:type="dcterms:W3CDTF">2022-02-01T07:31:00Z</dcterms:created>
  <dcterms:modified xsi:type="dcterms:W3CDTF">2022-02-01T10:31:00Z</dcterms:modified>
</cp:coreProperties>
</file>