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27.png" ContentType="image/png"/>
  <Override PartName="/word/media/rId30.png" ContentType="image/png"/>
  <Override PartName="/word/media/rId46.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Anna-Gaëlle</w:t>
      </w:r>
      <w:r>
        <w:t xml:space="preserve"> </w:t>
      </w:r>
      <w:r>
        <w:t xml:space="preserve">De</w:t>
      </w:r>
      <w:r>
        <w:t xml:space="preserve"> </w:t>
      </w:r>
      <w:r>
        <w:t xml:space="preserve">Groote,</w:t>
      </w:r>
      <w:r>
        <w:t xml:space="preserve"> </w:t>
      </w:r>
      <w:r>
        <w:t xml:space="preserve">Siebe</w:t>
      </w:r>
      <w:r>
        <w:t xml:space="preserve"> </w:t>
      </w:r>
      <w:r>
        <w:t xml:space="preserve">van</w:t>
      </w:r>
      <w:r>
        <w:t xml:space="preserve"> </w:t>
      </w:r>
      <w:r>
        <w:t xml:space="preserve">Wunnik,</w:t>
      </w:r>
      <w:r>
        <w:t xml:space="preserve"> </w:t>
      </w:r>
      <w:r>
        <w:t xml:space="preserve">Dries</w:t>
      </w:r>
      <w:r>
        <w:t xml:space="preserve"> </w:t>
      </w:r>
      <w:r>
        <w:t xml:space="preserve">Bonte</w:t>
      </w:r>
    </w:p>
    <w:bookmarkStart w:id="52" w:name="Xbedbf8c217679381cf9e79968694b401887f93f"/>
    <w:p>
      <w:pPr>
        <w:pStyle w:val="Heading1"/>
      </w:pPr>
      <w:r>
        <w:t xml:space="preserve">Supplementary methods for</w:t>
      </w:r>
      <w:r>
        <w:t xml:space="preserve"> </w:t>
      </w:r>
      <w:r>
        <w:rPr>
          <w:i/>
          <w:iCs/>
        </w:rPr>
        <w:t xml:space="preserve">Tetranychus turkestani</w:t>
      </w:r>
    </w:p>
    <w:bookmarkStart w:id="20" w:name="author-contributions"/>
    <w:p>
      <w:pPr>
        <w:pStyle w:val="Heading2"/>
      </w:pPr>
      <w:r>
        <w:t xml:space="preserve">Author contributions</w:t>
      </w:r>
    </w:p>
    <w:p>
      <w:pPr>
        <w:pStyle w:val="Compact"/>
        <w:numPr>
          <w:ilvl w:val="0"/>
          <w:numId w:val="1001"/>
        </w:numPr>
      </w:pPr>
      <w:r>
        <w:t xml:space="preserve">Anna-Gaëlle De Groote (A.D.G.): conduct experiment</w:t>
      </w:r>
    </w:p>
    <w:p>
      <w:pPr>
        <w:pStyle w:val="Compact"/>
        <w:numPr>
          <w:ilvl w:val="0"/>
          <w:numId w:val="1001"/>
        </w:numPr>
      </w:pPr>
      <w:r>
        <w:t xml:space="preserve">Siebe van Wunnik (S.v.W.): statistical analysis, writing</w:t>
      </w:r>
    </w:p>
    <w:p>
      <w:pPr>
        <w:pStyle w:val="Compact"/>
        <w:numPr>
          <w:ilvl w:val="0"/>
          <w:numId w:val="1001"/>
        </w:numPr>
      </w:pPr>
      <w:r>
        <w:t xml:space="preserve">Dries Bonte (D.B.): conceptualization, methodology, funding acquisition</w:t>
      </w:r>
    </w:p>
    <w:bookmarkEnd w:id="20"/>
    <w:bookmarkStart w:id="21" w:name="acknowledegements"/>
    <w:p>
      <w:pPr>
        <w:pStyle w:val="Heading2"/>
      </w:pPr>
      <w:r>
        <w:t xml:space="preserve">Acknowledegements</w:t>
      </w:r>
    </w:p>
    <w:p>
      <w:pPr>
        <w:pStyle w:val="FirstParagraph"/>
      </w:pPr>
      <w:r>
        <w:t xml:space="preserve">We thank Nicky Wybouw for providing access to the spider mite populations used in this study.</w:t>
      </w:r>
    </w:p>
    <w:p>
      <w:pPr>
        <w:pStyle w:val="BodyText"/>
      </w:pPr>
      <w:r>
        <w:t xml:space="preserve">Funding for S.v.W. and D.B. was provided by the FWO research network EVENET (W001322N). Additional support for S.v.W. was obtained through FWO grant G020524N.</w:t>
      </w:r>
    </w:p>
    <w:bookmarkEnd w:id="21"/>
    <w:bookmarkStart w:id="22" w:name="study-organism"/>
    <w:p>
      <w:pPr>
        <w:pStyle w:val="Heading2"/>
      </w:pPr>
      <w:r>
        <w:t xml:space="preserve">Study organism</w:t>
      </w:r>
    </w:p>
    <w:p>
      <w:pPr>
        <w:pStyle w:val="FirstParagraph"/>
      </w:pPr>
      <w:r>
        <w:t xml:space="preserve">Tetranychus turkestani:</w:t>
      </w:r>
    </w:p>
    <w:p>
      <w:pPr>
        <w:pStyle w:val="Compact"/>
        <w:numPr>
          <w:ilvl w:val="0"/>
          <w:numId w:val="1002"/>
        </w:numPr>
      </w:pPr>
      <w:r>
        <w:t xml:space="preserve">Ras</w:t>
      </w:r>
    </w:p>
    <w:p>
      <w:pPr>
        <w:pStyle w:val="FirstParagraph"/>
      </w:pPr>
      <w:r>
        <w:t xml:space="preserve">#Provide basic life history information (aquatic/terrestrial, mode of dispersal, lifespan, etc.).</w:t>
      </w:r>
    </w:p>
    <w:p>
      <w:pPr>
        <w:pStyle w:val="BodyText"/>
      </w:pPr>
      <w:r>
        <w:t xml:space="preserve">Terrestrial plant-feeding Acari, cosmopolitan distribution, polyphageous, reproduce through arrhenotoky (haplodiploids), capable of diapause during winter, capable of both active and passive dispersal, lifespan between 2 and 4 weeks, capable of producing approximately 70 eggs during a lifetime.</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Tetranychus urticae is a cosmopolitan species found worldwide in temperate, subtropical, and tropical regions. In its natural environment, it is most active during the warmer months, with populations typically peaking in spring and summer. It inhabits plant surfaces, especially the undersides of leaves, and is commonly associated with crops, ornamentals, and weeds. The species thrives in temperatures ranging from approximately 20–30°C, with optimal development occurring around 25–28°C. While it can tolerate brief periods of higher temperatures, extreme heat above 40°C or prolonged exposure to cold below 10°C significantly reduces survival and reproduction. In the lab, the species is maintained within its optimal temperature range on bean.</w:t>
      </w:r>
    </w:p>
    <w:p>
      <w:pPr>
        <w:pStyle w:val="BodyText"/>
      </w:pPr>
      <w:r>
        <w:t xml:space="preserve">#How were organisms sourced?</w:t>
      </w:r>
    </w:p>
    <w:p>
      <w:pPr>
        <w:pStyle w:val="BodyText"/>
      </w:pPr>
      <w:r>
        <w:t xml:space="preserve">Field caught: line, location, original host plant</w:t>
      </w:r>
    </w:p>
    <w:p>
      <w:pPr>
        <w:pStyle w:val="Compact"/>
        <w:numPr>
          <w:ilvl w:val="0"/>
          <w:numId w:val="1003"/>
        </w:numPr>
      </w:pPr>
      <w:r>
        <w:t xml:space="preserve">Ras: Rascafria, Spain. Strawberry</w:t>
      </w:r>
    </w:p>
    <w:p>
      <w:pPr>
        <w:pStyle w:val="FirstParagraph"/>
      </w:pPr>
      <w:r>
        <w:t xml:space="preserve">#How were individuals/populations treated before the experiment?</w:t>
      </w:r>
    </w:p>
    <w:p>
      <w:pPr>
        <w:numPr>
          <w:ilvl w:val="0"/>
          <w:numId w:val="1004"/>
        </w:numPr>
      </w:pPr>
      <w:r>
        <w:t xml:space="preserve">The mites were made isofemale lines, after which they were maintained under constant conditions as a stock. Food was ad libitum, temperature was kept at 24°C, and constant light.</w:t>
      </w:r>
      <w:r>
        <w:t xml:space="preserve"> </w:t>
      </w:r>
      <w:r>
        <w:t xml:space="preserve">When were the lines collected:</w:t>
      </w:r>
    </w:p>
    <w:p>
      <w:pPr>
        <w:numPr>
          <w:ilvl w:val="0"/>
          <w:numId w:val="1004"/>
        </w:numPr>
      </w:pPr>
      <w:r>
        <w:t xml:space="preserve">Ras: 2022</w:t>
      </w:r>
    </w:p>
    <w:p>
      <w:pPr>
        <w:pStyle w:val="FirstParagraph"/>
      </w:pPr>
      <w:r>
        <w:t xml:space="preserve">#Were specific individuals/phenotypes/stages selected for the experiment?</w:t>
      </w:r>
    </w:p>
    <w:p>
      <w:pPr>
        <w:pStyle w:val="BodyText"/>
      </w:pPr>
      <w:r>
        <w:t xml:space="preserve">No Wolbacchia present (capable of skewing sex-ratio)</w:t>
      </w:r>
    </w:p>
    <w:bookmarkEnd w:id="22"/>
    <w:bookmarkStart w:id="26" w:name="study-design"/>
    <w:p>
      <w:pPr>
        <w:pStyle w:val="Heading2"/>
      </w:pPr>
      <w:r>
        <w:t xml:space="preserve">Study design</w:t>
      </w:r>
    </w:p>
    <w:bookmarkStart w:id="23" w:name="temperature-treatments"/>
    <w:p>
      <w:pPr>
        <w:pStyle w:val="Heading3"/>
      </w:pPr>
      <w:r>
        <w:t xml:space="preserve">Temperature treatments</w:t>
      </w:r>
    </w:p>
    <w:p>
      <w:pPr>
        <w:pStyle w:val="Compact"/>
        <w:numPr>
          <w:ilvl w:val="0"/>
          <w:numId w:val="1005"/>
        </w:numPr>
      </w:pPr>
      <w:r>
        <w:t xml:space="preserve">Tcold: 24°C; Sufficiently cold to be suboptimal, while still above diapause temperature and mites will still show activity and movement.</w:t>
      </w:r>
    </w:p>
    <w:p>
      <w:pPr>
        <w:pStyle w:val="Compact"/>
        <w:numPr>
          <w:ilvl w:val="0"/>
          <w:numId w:val="1005"/>
        </w:numPr>
      </w:pPr>
      <w:r>
        <w:t xml:space="preserve">Topt: 30°C; Optimal temperature for spider mites, as here their generation time and number of offspring increases.</w:t>
      </w:r>
    </w:p>
    <w:p>
      <w:pPr>
        <w:pStyle w:val="Compact"/>
        <w:numPr>
          <w:ilvl w:val="0"/>
          <w:numId w:val="1005"/>
        </w:numPr>
      </w:pPr>
      <w:r>
        <w:t xml:space="preserve">Thot: 36°C; Sufficiently hot to affect the spider mites, while not causing complete mortality.</w:t>
      </w:r>
    </w:p>
    <w:p>
      <w:pPr>
        <w:pStyle w:val="FirstParagraph"/>
      </w:pPr>
      <w:r>
        <w:t xml:space="preserve">However, we observed highest fitness in the Tcold treatment. The naming was changed accordingly.</w:t>
      </w:r>
    </w:p>
    <w:bookmarkEnd w:id="23"/>
    <w:bookmarkStart w:id="24" w:name="phase-1-fitness-assay"/>
    <w:p>
      <w:pPr>
        <w:pStyle w:val="Heading3"/>
      </w:pPr>
      <w:r>
        <w:t xml:space="preserve">Phase 1: Fitness assay</w:t>
      </w:r>
    </w:p>
    <w:p>
      <w:pPr>
        <w:pStyle w:val="FirstParagraph"/>
      </w:pPr>
      <w:r>
        <w:t xml:space="preserve">Fitness proxy: malthusian fitness = number of viable female offspring produced by one female.</w:t>
      </w:r>
    </w:p>
    <w:p>
      <w:pPr>
        <w:pStyle w:val="BodyText"/>
      </w:pPr>
      <w:r>
        <w:t xml:space="preserve">#- Physical details about the experimental setup including size/shape/volume of experimental arenas, substrate/medium of experimental arenas.</w:t>
      </w:r>
    </w:p>
    <w:p>
      <w:pPr>
        <w:numPr>
          <w:ilvl w:val="0"/>
          <w:numId w:val="1006"/>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6"/>
        </w:numPr>
      </w:pPr>
      <w:r>
        <w:t xml:space="preserve">Replicates</w:t>
      </w:r>
    </w:p>
    <w:p>
      <w:pPr>
        <w:pStyle w:val="Compact"/>
        <w:numPr>
          <w:ilvl w:val="1"/>
          <w:numId w:val="1007"/>
        </w:numPr>
      </w:pPr>
      <w:r>
        <w:t xml:space="preserve">Three replication rounds</w:t>
      </w:r>
    </w:p>
    <w:p>
      <w:pPr>
        <w:pStyle w:val="Compact"/>
        <w:numPr>
          <w:ilvl w:val="1"/>
          <w:numId w:val="1007"/>
        </w:numPr>
      </w:pPr>
      <w:r>
        <w:t xml:space="preserve">Variable number of replicates per adult female: dependent on number of eggs laid</w:t>
      </w:r>
    </w:p>
    <w:p>
      <w:pPr>
        <w:pStyle w:val="Compact"/>
        <w:numPr>
          <w:ilvl w:val="1"/>
          <w:numId w:val="1007"/>
        </w:numPr>
      </w:pPr>
      <w:r>
        <w:t xml:space="preserve">Blocked on replication rounds</w:t>
      </w:r>
    </w:p>
    <w:p>
      <w:pPr>
        <w:numPr>
          <w:ilvl w:val="0"/>
          <w:numId w:val="1006"/>
        </w:numPr>
      </w:pPr>
      <w:r>
        <w:t xml:space="preserve">Food was available ad libitum in the form of bean leaves.</w:t>
      </w:r>
    </w:p>
    <w:p>
      <w:pPr>
        <w:numPr>
          <w:ilvl w:val="0"/>
          <w:numId w:val="1006"/>
        </w:numPr>
      </w:pPr>
      <w:r>
        <w:t xml:space="preserve">Starting density of one mite.</w:t>
      </w:r>
      <w:r>
        <w:br/>
      </w:r>
    </w:p>
    <w:p>
      <w:pPr>
        <w:numPr>
          <w:ilvl w:val="0"/>
          <w:numId w:val="1006"/>
        </w:numPr>
      </w:pPr>
      <w:r>
        <w:t xml:space="preserve">Fitness assay lasted until all eggs were hatched or visible defect</w:t>
      </w:r>
    </w:p>
    <w:p>
      <w:pPr>
        <w:numPr>
          <w:ilvl w:val="0"/>
          <w:numId w:val="1006"/>
        </w:numPr>
      </w:pPr>
      <w:r>
        <w:t xml:space="preserve">Only females were used for the fitness assay</w:t>
      </w:r>
    </w:p>
    <w:p>
      <w:pPr>
        <w:numPr>
          <w:ilvl w:val="0"/>
          <w:numId w:val="1006"/>
        </w:numPr>
      </w:pPr>
      <w:r>
        <w:t xml:space="preserve">Daily fecundity was estimated by dividing the number of hatched female offspring by the developmental time.</w:t>
      </w:r>
    </w:p>
    <w:bookmarkEnd w:id="24"/>
    <w:bookmarkStart w:id="25" w:name="phase-2-dispersal-assay"/>
    <w:p>
      <w:pPr>
        <w:pStyle w:val="Heading3"/>
      </w:pPr>
      <w:r>
        <w:t xml:space="preserve">Phase 2: Dispersal assay</w:t>
      </w:r>
    </w:p>
    <w:p>
      <w:pPr>
        <w:pStyle w:val="FirstParagraph"/>
      </w:pPr>
      <w:r>
        <w:t xml:space="preserve">Provide details about the methods for estimating dispersal including:</w:t>
      </w:r>
      <w:r>
        <w:br/>
      </w:r>
      <w:r>
        <w:t xml:space="preserve">- 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pStyle w:val="Compact"/>
        <w:numPr>
          <w:ilvl w:val="0"/>
          <w:numId w:val="1008"/>
        </w:numPr>
      </w:pPr>
      <w:r>
        <w:t xml:space="preserve">Replicates</w:t>
      </w:r>
    </w:p>
    <w:p>
      <w:pPr>
        <w:pStyle w:val="Compact"/>
        <w:numPr>
          <w:ilvl w:val="1"/>
          <w:numId w:val="1009"/>
        </w:numPr>
      </w:pPr>
      <w:r>
        <w:t xml:space="preserve">Three replication rounds</w:t>
      </w:r>
    </w:p>
    <w:p>
      <w:pPr>
        <w:pStyle w:val="Compact"/>
        <w:numPr>
          <w:ilvl w:val="1"/>
          <w:numId w:val="1009"/>
        </w:numPr>
      </w:pPr>
      <w:r>
        <w:t xml:space="preserve">Variable number of replicates per adult female: dependent on number of eggs laid</w:t>
      </w:r>
    </w:p>
    <w:p>
      <w:pPr>
        <w:pStyle w:val="Compact"/>
        <w:numPr>
          <w:ilvl w:val="1"/>
          <w:numId w:val="1009"/>
        </w:numPr>
      </w:pPr>
      <w:r>
        <w:t xml:space="preserve">Blocked on replication rounds</w:t>
      </w:r>
    </w:p>
    <w:p>
      <w:pPr>
        <w:pStyle w:val="Compact"/>
        <w:numPr>
          <w:ilvl w:val="0"/>
          <w:numId w:val="1008"/>
        </w:numPr>
      </w:pPr>
      <w:r>
        <w:t xml:space="preserve">Food was available ad libitum in the form of bean leaves.</w:t>
      </w:r>
    </w:p>
    <w:p>
      <w:pPr>
        <w:pStyle w:val="Compact"/>
        <w:numPr>
          <w:ilvl w:val="0"/>
          <w:numId w:val="1008"/>
        </w:numPr>
      </w:pPr>
      <w:r>
        <w:t xml:space="preserve">Starting density of one mite.</w:t>
      </w:r>
    </w:p>
    <w:p>
      <w:pPr>
        <w:pStyle w:val="Compact"/>
        <w:numPr>
          <w:ilvl w:val="0"/>
          <w:numId w:val="1008"/>
        </w:numPr>
      </w:pPr>
      <w:r>
        <w:t xml:space="preserve">Duration of dispersal assay including:</w:t>
      </w:r>
    </w:p>
    <w:p>
      <w:pPr>
        <w:pStyle w:val="Compact"/>
        <w:numPr>
          <w:ilvl w:val="1"/>
          <w:numId w:val="1010"/>
        </w:numPr>
      </w:pPr>
      <w:r>
        <w:t xml:space="preserve">Parent already experienced treatment temperature</w:t>
      </w:r>
      <w:r>
        <w:br/>
      </w:r>
    </w:p>
    <w:p>
      <w:pPr>
        <w:pStyle w:val="Compact"/>
        <w:numPr>
          <w:ilvl w:val="1"/>
          <w:numId w:val="1010"/>
        </w:numPr>
      </w:pPr>
      <w:r>
        <w:t xml:space="preserve">No acclimation period</w:t>
      </w:r>
    </w:p>
    <w:p>
      <w:pPr>
        <w:pStyle w:val="Compact"/>
        <w:numPr>
          <w:ilvl w:val="1"/>
          <w:numId w:val="1010"/>
        </w:numPr>
      </w:pPr>
      <w:r>
        <w:t xml:space="preserve">Dispersal assay lasted four days</w:t>
      </w:r>
    </w:p>
    <w:p>
      <w:pPr>
        <w:pStyle w:val="Compact"/>
        <w:numPr>
          <w:ilvl w:val="0"/>
          <w:numId w:val="1008"/>
        </w:numPr>
      </w:pPr>
      <w:r>
        <w:t xml:space="preserve">Only females were used for the dispersal assay</w:t>
      </w:r>
    </w:p>
    <w:p>
      <w:pPr>
        <w:pStyle w:val="Compact"/>
        <w:numPr>
          <w:ilvl w:val="0"/>
          <w:numId w:val="1008"/>
        </w:numPr>
      </w:pPr>
      <w:r>
        <w:t xml:space="preserve">Dispersal was measured by calculating the number of eggs laid on the second patch compared to the total number of eggs laid.</w:t>
      </w:r>
    </w:p>
    <w:p>
      <w:pPr>
        <w:pStyle w:val="Compact"/>
        <w:numPr>
          <w:ilvl w:val="0"/>
          <w:numId w:val="1008"/>
        </w:numPr>
      </w:pPr>
      <w:r>
        <w:t xml:space="preserve">Individuals used in phase 2 were the same as used in phase 1</w:t>
      </w:r>
    </w:p>
    <w:p>
      <w:pPr>
        <w:pStyle w:val="Compact"/>
        <w:numPr>
          <w:ilvl w:val="0"/>
          <w:numId w:val="1008"/>
        </w:numPr>
      </w:pPr>
      <w:r>
        <w:t xml:space="preserve">Provide details on data collection including:</w:t>
      </w:r>
    </w:p>
    <w:p>
      <w:pPr>
        <w:pStyle w:val="Compact"/>
        <w:numPr>
          <w:ilvl w:val="1"/>
          <w:numId w:val="1011"/>
        </w:numPr>
      </w:pPr>
      <w:r>
        <w:t xml:space="preserve">Daily sampling</w:t>
      </w:r>
    </w:p>
    <w:p>
      <w:pPr>
        <w:pStyle w:val="Compact"/>
        <w:numPr>
          <w:ilvl w:val="1"/>
          <w:numId w:val="1011"/>
        </w:numPr>
      </w:pPr>
      <w:r>
        <w:t xml:space="preserve">Sampling consisted of checking both patches and counting the number of eggs.</w:t>
      </w:r>
    </w:p>
    <w:p>
      <w:pPr>
        <w:pStyle w:val="Compact"/>
        <w:numPr>
          <w:ilvl w:val="0"/>
          <w:numId w:val="1008"/>
        </w:numPr>
      </w:pPr>
      <w:r>
        <w:t xml:space="preserve">Individuals that died during the dispersal assay were excluded from the analysis of dispersal.</w:t>
      </w:r>
    </w:p>
    <w:bookmarkEnd w:id="25"/>
    <w:bookmarkEnd w:id="26"/>
    <w:bookmarkStart w:id="51" w:name="statistical-analysis"/>
    <w:p>
      <w:pPr>
        <w:pStyle w:val="Heading2"/>
      </w:pPr>
      <w:r>
        <w:t xml:space="preserve">Statistical Analysis</w:t>
      </w:r>
    </w:p>
    <w:bookmarkStart w:id="35" w:name="X28a23c8c518b1e72cdb0204b32b2c21bc767919"/>
    <w:p>
      <w:pPr>
        <w:pStyle w:val="Heading3"/>
      </w:pPr>
      <w:r>
        <w:t xml:space="preserve">Does fitness change with temperature (phase 1)?</w:t>
      </w:r>
    </w:p>
    <w:p>
      <w:pPr>
        <w:pStyle w:val="FirstParagraph"/>
      </w:pPr>
      <w:r>
        <w:t xml:space="preserve">Population growth, r was normally distributed.</w:t>
      </w:r>
    </w:p>
    <w:p>
      <w:pPr>
        <w:pStyle w:val="CaptionedFigure"/>
      </w:pPr>
      <w:r>
        <w:drawing>
          <wp:inline>
            <wp:extent cx="4620126" cy="3696101"/>
            <wp:effectExtent b="0" l="0" r="0" t="0"/>
            <wp:docPr descr="Figure 1. Histogram of fitness ( population growth, r ) values." title="" id="28" name="Picture"/>
            <a:graphic>
              <a:graphicData uri="http://schemas.openxmlformats.org/drawingml/2006/picture">
                <pic:pic>
                  <pic:nvPicPr>
                    <pic:cNvPr descr="C:\Users\svwunnik\OneDrive%20-%20UGent\UGent-PC\Svwunnik\Desktop\Dokter%20Siebe\De%20papers%20van%20ikke\4_Anna_Gaelle_paper\DispNet-Temperature-Dependent-Dispersal\Knitted_Markdowns\Tetranychus_turkestani_files/figure-docx/fitnessnormal-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fitness ( population growth, r ) values.</w:t>
      </w:r>
    </w:p>
    <w:p>
      <w:pPr>
        <w:pStyle w:val="CaptionedFigure"/>
      </w:pPr>
      <w:r>
        <w:drawing>
          <wp:inline>
            <wp:extent cx="4620126" cy="3696101"/>
            <wp:effectExtent b="0" l="0" r="0" t="0"/>
            <wp:docPr descr="Figure 2. Boxplot of fitness ( population growth, r ), as a function of temperature treatment. opt = 24 C, medium.high = 30 C, high = 36 C." title="" id="31" name="Picture"/>
            <a:graphic>
              <a:graphicData uri="http://schemas.openxmlformats.org/drawingml/2006/picture">
                <pic:pic>
                  <pic:nvPicPr>
                    <pic:cNvPr descr="C:\Users\svwunnik\OneDrive%20-%20UGent\UGent-PC\Svwunnik\Desktop\Dokter%20Siebe\De%20papers%20van%20ikke\4_Anna_Gaelle_paper\DispNet-Temperature-Dependent-Dispersal\Knitted_Markdowns\Tetranychus_turkestani_files/figure-docx/fitnessplotnormal-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population growth, r ), as a function of temperature treatment. opt = 24 C, medium.high = 30 C, high = 36 C.</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Fitness ~ temp_treatment + (1 | plate)</w:t>
      </w:r>
    </w:p>
    <w:bookmarkStart w:id="33" w:name="X4d75bf29afdb3f3059f51b0f64a8b52a72d0286"/>
    <w:p>
      <w:pPr>
        <w:pStyle w:val="Heading4"/>
      </w:pPr>
      <w:r>
        <w:t xml:space="preserve">Results for main effect of temperature on fitness</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(1 | plate)</w:t>
      </w:r>
      <w:r>
        <w:br/>
      </w:r>
      <w:r>
        <w:rPr>
          <w:rStyle w:val="VerbatimChar"/>
        </w:rPr>
        <w:t xml:space="preserve">##                Df    AIC    LRT Pr(&gt;Chi)</w:t>
      </w:r>
      <w:r>
        <w:br/>
      </w:r>
      <w:r>
        <w:rPr>
          <w:rStyle w:val="VerbatimChar"/>
        </w:rPr>
        <w:t xml:space="preserve">## &lt;none&gt;            178.79                </w:t>
      </w:r>
      <w:r>
        <w:br/>
      </w:r>
      <w:r>
        <w:rPr>
          <w:rStyle w:val="VerbatimChar"/>
        </w:rPr>
        <w:t xml:space="preserve">## Temp.treatment  2 177.59 2.7958   0.2471</w:t>
      </w:r>
    </w:p>
    <w:bookmarkEnd w:id="33"/>
    <w:bookmarkStart w:id="34"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ratio     SE  df asymp.LCL asymp.UCL null z.ratio p.value</w:t>
      </w:r>
      <w:r>
        <w:br/>
      </w:r>
      <w:r>
        <w:rPr>
          <w:rStyle w:val="VerbatimChar"/>
        </w:rPr>
        <w:t xml:space="preserve">##  opt / high         10.095 14.000 Inf    0.6715    151.76    1   1.672  0.0945</w:t>
      </w:r>
      <w:r>
        <w:br/>
      </w:r>
      <w:r>
        <w:rPr>
          <w:rStyle w:val="VerbatimChar"/>
        </w:rPr>
        <w:t xml:space="preserve">##  opt / medium.high   1.399  1.120 Inf    0.2929      6.68    1   0.421  0.6741</w:t>
      </w:r>
      <w:r>
        <w:br/>
      </w:r>
      <w:r>
        <w:rPr>
          <w:rStyle w:val="VerbatimChar"/>
        </w:rPr>
        <w:t xml:space="preserve">##  high / medium.high  0.139  0.192 Inf    0.0092      2.09    1  -1.428  0.1532</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xml:space="preserve">## Tests are performed on the log scale</w:t>
      </w:r>
    </w:p>
    <w:bookmarkEnd w:id="34"/>
    <w:bookmarkEnd w:id="35"/>
    <w:bookmarkStart w:id="41" w:name="Xc2bc564464e47322dbb6405af4d9fe8410e9321"/>
    <w:p>
      <w:pPr>
        <w:pStyle w:val="Heading3"/>
      </w:pPr>
      <w:r>
        <w:t xml:space="preserve">Does dispersal change with temperature (phase 2)?</w:t>
      </w:r>
    </w:p>
    <w:p>
      <w:pPr>
        <w:pStyle w:val="FirstParagraph"/>
      </w:pPr>
      <w:r>
        <w:t xml:space="preserve">There was evidence of overdispersion in our dispersal data. Therefore, to estimate the effect of temperature treatment (a factor) on dispersal, we used a generalized linear mixed model with a negative binomial error structure. Dispersal (the number of dispersers vs non-dispersers) was the response variable. We used the formula:</w:t>
      </w:r>
    </w:p>
    <w:p>
      <w:pPr>
        <w:pStyle w:val="BodyText"/>
      </w:pPr>
      <w:r>
        <w:t xml:space="preserve">cbind(n_eggs_on_B, total_n_eggs - n_eggs_on_B) ~ temp_treatment + , (1 | plate)</w:t>
      </w:r>
    </w:p>
    <w:p>
      <w:pPr>
        <w:pStyle w:val="CaptionedFigure"/>
      </w:pPr>
      <w:r>
        <w:drawing>
          <wp:inline>
            <wp:extent cx="4620126" cy="3696101"/>
            <wp:effectExtent b="0" l="0" r="0" t="0"/>
            <wp:docPr descr="Figure 1. Dispersal as a function of temperature treatment. opt = 24 C, medium.high = 30 C, high = 36 C. Error bars represent 95% confidence intervals predicted from GLMM." title="" id="37" name="Picture"/>
            <a:graphic>
              <a:graphicData uri="http://schemas.openxmlformats.org/drawingml/2006/picture">
                <pic:pic>
                  <pic:nvPicPr>
                    <pic:cNvPr descr="C:\Users\svwunnik\OneDrive%20-%20UGent\UGent-PC\Svwunnik\Desktop\Dokter%20Siebe\De%20papers%20van%20ikke\4_Anna_Gaelle_paper\DispNet-Temperature-Dependent-Dispersal\Knitted_Markdowns\Tetranychus_turkestani_files/figure-docx/dispersalplot-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opt = 24 C, medium.high = 30 C, high = 36 C. Error bars represent 95% confidence intervals predicted from GLMM.</w:t>
      </w:r>
    </w:p>
    <w:bookmarkStart w:id="39"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n_eggs_on_A) ~ Temp.treatment + (1 | plate)</w:t>
      </w:r>
      <w:r>
        <w:br/>
      </w:r>
      <w:r>
        <w:rPr>
          <w:rStyle w:val="VerbatimChar"/>
        </w:rPr>
        <w:t xml:space="preserve">##                Df    AIC     LRT Pr(&gt;Chi)</w:t>
      </w:r>
      <w:r>
        <w:br/>
      </w:r>
      <w:r>
        <w:rPr>
          <w:rStyle w:val="VerbatimChar"/>
        </w:rPr>
        <w:t xml:space="preserve">## &lt;none&gt;            59.247                 </w:t>
      </w:r>
      <w:r>
        <w:br/>
      </w:r>
      <w:r>
        <w:rPr>
          <w:rStyle w:val="VerbatimChar"/>
        </w:rPr>
        <w:t xml:space="preserve">## Temp.treatment  2 55.893 0.64604    0.724</w:t>
      </w:r>
    </w:p>
    <w:bookmarkEnd w:id="39"/>
    <w:bookmarkStart w:id="40"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opt / high           38572616 6.22e+11 Inf    0.0000       Inf    1   0.001  0.9991</w:t>
      </w:r>
      <w:r>
        <w:br/>
      </w:r>
      <w:r>
        <w:rPr>
          <w:rStyle w:val="VerbatimChar"/>
        </w:rPr>
        <w:t xml:space="preserve">##  opt / medium.high           0 1.00e+00 Inf    0.0106        12    1  -0.580  0.5620</w:t>
      </w:r>
      <w:r>
        <w:br/>
      </w:r>
      <w:r>
        <w:rPr>
          <w:rStyle w:val="VerbatimChar"/>
        </w:rPr>
        <w:t xml:space="preserve">##  high / medium.high          0 0.00e+00 Inf    0.0000       Inf    1  -0.001  0.9991</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0"/>
    <w:bookmarkEnd w:id="41"/>
    <w:bookmarkStart w:id="50" w:name="model-diagnostics"/>
    <w:p>
      <w:pPr>
        <w:pStyle w:val="Heading3"/>
      </w:pPr>
      <w:r>
        <w:t xml:space="preserve">Model Diagnostics</w:t>
      </w:r>
    </w:p>
    <w:p>
      <w:pPr>
        <w:pStyle w:val="FirstParagraph"/>
      </w:pPr>
      <w:r>
        <w:t xml:space="preserve">There was no evidence for lack of fit for either the fitness or the dispersal model.</w:t>
      </w:r>
    </w:p>
    <w:bookmarkStart w:id="45" w:name="diagnostic-plots-for-fitness-data"/>
    <w:p>
      <w:pPr>
        <w:pStyle w:val="Heading4"/>
      </w:pPr>
      <w:r>
        <w:t xml:space="preserve">Diagnostic plots for fitness data</w:t>
      </w:r>
    </w:p>
    <w:p>
      <w:pPr>
        <w:pStyle w:val="FirstParagraph"/>
      </w:pPr>
      <w:r>
        <w:drawing>
          <wp:inline>
            <wp:extent cx="5334000" cy="4667250"/>
            <wp:effectExtent b="0" l="0" r="0" t="0"/>
            <wp:docPr descr="" title="" id="43" name="Picture"/>
            <a:graphic>
              <a:graphicData uri="http://schemas.openxmlformats.org/drawingml/2006/picture">
                <pic:pic>
                  <pic:nvPicPr>
                    <pic:cNvPr descr="C:\Users\svwunnik\OneDrive%20-%20UGent\UGent-PC\Svwunnik\Desktop\Dokter%20Siebe\De%20papers%20van%20ikke\4_Anna_Gaelle_paper\DispNet-Temperature-Dependent-Dispersal\Knitted_Markdowns\Tetranychus_turkestani_files/figure-docx/modeldiagnosticsfitness_zero-1.png" id="44" name="Picture"/>
                    <pic:cNvPicPr>
                      <a:picLocks noChangeArrowheads="1" noChangeAspect="1"/>
                    </pic:cNvPicPr>
                  </pic:nvPicPr>
                  <pic:blipFill>
                    <a:blip r:embed="rId42"/>
                    <a:stretch>
                      <a:fillRect/>
                    </a:stretch>
                  </pic:blipFill>
                  <pic:spPr bwMode="auto">
                    <a:xfrm>
                      <a:off x="0" y="0"/>
                      <a:ext cx="5334000" cy="4667250"/>
                    </a:xfrm>
                    <a:prstGeom prst="rect">
                      <a:avLst/>
                    </a:prstGeom>
                    <a:noFill/>
                    <a:ln w="9525">
                      <a:noFill/>
                      <a:headEnd/>
                      <a:tailEnd/>
                    </a:ln>
                  </pic:spPr>
                </pic:pic>
              </a:graphicData>
            </a:graphic>
          </wp:inline>
        </w:drawing>
      </w:r>
    </w:p>
    <w:bookmarkEnd w:id="45"/>
    <w:bookmarkStart w:id="49" w:name="diagnostic-plots-for-dispersal-data"/>
    <w:p>
      <w:pPr>
        <w:pStyle w:val="Heading4"/>
      </w:pPr>
      <w:r>
        <w:t xml:space="preserve">Diagnostic plots for dispersal data</w:t>
      </w:r>
    </w:p>
    <w:p>
      <w:pPr>
        <w:pStyle w:val="FirstParagraph"/>
      </w:pPr>
      <w:r>
        <w:drawing>
          <wp:inline>
            <wp:extent cx="5334000" cy="4667250"/>
            <wp:effectExtent b="0" l="0" r="0" t="0"/>
            <wp:docPr descr="" title="" id="47" name="Picture"/>
            <a:graphic>
              <a:graphicData uri="http://schemas.openxmlformats.org/drawingml/2006/picture">
                <pic:pic>
                  <pic:nvPicPr>
                    <pic:cNvPr descr="C:\Users\svwunnik\OneDrive%20-%20UGent\UGent-PC\Svwunnik\Desktop\Dokter%20Siebe\De%20papers%20van%20ikke\4_Anna_Gaelle_paper\DispNet-Temperature-Dependent-Dispersal\Knitted_Markdowns\Tetranychus_turkestani_files/figure-docx/modeldiagnosticsdispersal_zero-1.png" id="48" name="Picture"/>
                    <pic:cNvPicPr>
                      <a:picLocks noChangeArrowheads="1" noChangeAspect="1"/>
                    </pic:cNvPicPr>
                  </pic:nvPicPr>
                  <pic:blipFill>
                    <a:blip r:embed="rId46"/>
                    <a:stretch>
                      <a:fillRect/>
                    </a:stretch>
                  </pic:blipFill>
                  <pic:spPr bwMode="auto">
                    <a:xfrm>
                      <a:off x="0" y="0"/>
                      <a:ext cx="5334000" cy="4667250"/>
                    </a:xfrm>
                    <a:prstGeom prst="rect">
                      <a:avLst/>
                    </a:prstGeom>
                    <a:noFill/>
                    <a:ln w="9525">
                      <a:noFill/>
                      <a:headEnd/>
                      <a:tailEnd/>
                    </a:ln>
                  </pic:spPr>
                </pic:pic>
              </a:graphicData>
            </a:graphic>
          </wp:inline>
        </w:drawing>
      </w:r>
    </w:p>
    <w:bookmarkEnd w:id="49"/>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46" Target="media/rId46.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Anna-Gaëlle De Groote, Siebe van Wunnik, Dries Bonte</dc:creator>
  <cp:keywords/>
  <dcterms:created xsi:type="dcterms:W3CDTF">2026-05-07T11:28:20Z</dcterms:created>
  <dcterms:modified xsi:type="dcterms:W3CDTF">2026-05-07T11:28:20Z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